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bookmarkStart w:id="0" w:name="_Hlk69826857"/>
      <w:r>
        <w:rPr>
          <w:rFonts w:hint="eastAsia" w:ascii="方正小标宋简体" w:eastAsia="方正小标宋简体"/>
          <w:sz w:val="44"/>
          <w:szCs w:val="44"/>
        </w:rPr>
        <w:t>河南省科学技术协会</w:t>
      </w:r>
      <w:bookmarkEnd w:id="0"/>
      <w:r>
        <w:rPr>
          <w:rFonts w:hint="eastAsia" w:ascii="方正小标宋简体" w:eastAsia="方正小标宋简体"/>
          <w:sz w:val="44"/>
          <w:szCs w:val="44"/>
        </w:rPr>
        <w:t>项目单位自评</w:t>
      </w:r>
    </w:p>
    <w:p>
      <w:pPr>
        <w:jc w:val="center"/>
        <w:rPr>
          <w:rFonts w:ascii="方正小标宋简体" w:eastAsia="方正小标宋简体"/>
          <w:sz w:val="44"/>
          <w:szCs w:val="44"/>
        </w:rPr>
      </w:pPr>
      <w:r>
        <w:rPr>
          <w:rFonts w:hint="eastAsia" w:ascii="方正小标宋简体" w:eastAsia="方正小标宋简体"/>
          <w:sz w:val="44"/>
          <w:szCs w:val="44"/>
        </w:rPr>
        <w:t>总结报告</w:t>
      </w:r>
    </w:p>
    <w:p>
      <w:pPr>
        <w:spacing w:line="600" w:lineRule="exact"/>
        <w:ind w:firstLine="640" w:firstLineChars="200"/>
        <w:jc w:val="center"/>
        <w:rPr>
          <w:rFonts w:ascii="仿宋_GB2312"/>
          <w:sz w:val="32"/>
          <w:szCs w:val="32"/>
        </w:rPr>
      </w:pPr>
    </w:p>
    <w:p>
      <w:pPr>
        <w:bidi w:val="0"/>
        <w:rPr>
          <w:rFonts w:ascii="仿宋_GB2312"/>
          <w:sz w:val="32"/>
          <w:szCs w:val="32"/>
        </w:rPr>
      </w:pPr>
      <w:r>
        <w:rPr>
          <w:rFonts w:hint="eastAsia" w:ascii="仿宋_GB2312"/>
          <w:sz w:val="32"/>
          <w:szCs w:val="32"/>
        </w:rPr>
        <w:t>为加强财政支出管理，进一步提高财政资金使用效益，按照</w:t>
      </w:r>
      <w:r>
        <w:rPr>
          <w:rFonts w:hint="eastAsia"/>
        </w:rPr>
        <w:t>《河南省财政厅关于开展</w:t>
      </w:r>
      <w:r>
        <w:rPr>
          <w:rFonts w:hint="eastAsia" w:ascii="Times New Roman" w:hAnsi="Times New Roman" w:cs="Times New Roman"/>
          <w:sz w:val="32"/>
          <w:szCs w:val="32"/>
          <w:lang w:val="en-US" w:eastAsia="zh-CN"/>
        </w:rPr>
        <w:t>2024</w:t>
      </w:r>
      <w:r>
        <w:rPr>
          <w:rFonts w:hint="eastAsia"/>
        </w:rPr>
        <w:t>年度省级绩效自评和部门评价工作的通知》（豫财效</w:t>
      </w:r>
      <w:r>
        <w:rPr>
          <w:rFonts w:hint="eastAsia" w:ascii="Times New Roman" w:hAnsi="Times New Roman" w:cs="Times New Roman"/>
          <w:sz w:val="32"/>
          <w:szCs w:val="32"/>
          <w:lang w:val="en-US" w:eastAsia="zh-CN"/>
        </w:rPr>
        <w:t>〔2024〕</w:t>
      </w:r>
      <w:r>
        <w:rPr>
          <w:rFonts w:hint="eastAsia" w:ascii="楷体" w:hAnsi="楷体" w:eastAsia="楷体"/>
          <w:lang w:val="en-US" w:eastAsia="zh-CN"/>
        </w:rPr>
        <w:t>1</w:t>
      </w:r>
      <w:r>
        <w:rPr>
          <w:rFonts w:hint="eastAsia" w:ascii="楷体" w:hAnsi="楷体" w:eastAsia="楷体"/>
        </w:rPr>
        <w:t>号</w:t>
      </w:r>
      <w:r>
        <w:rPr>
          <w:rFonts w:hint="eastAsia"/>
        </w:rPr>
        <w:t>）</w:t>
      </w:r>
      <w:r>
        <w:rPr>
          <w:rFonts w:hint="eastAsia" w:ascii="仿宋_GB2312"/>
          <w:sz w:val="32"/>
          <w:szCs w:val="32"/>
        </w:rPr>
        <w:t>文件要求，</w:t>
      </w:r>
      <w:r>
        <w:rPr>
          <w:rFonts w:hint="eastAsia" w:ascii="仿宋_GB2312"/>
          <w:sz w:val="32"/>
          <w:szCs w:val="32"/>
          <w:lang w:eastAsia="zh-CN"/>
        </w:rPr>
        <w:t>我单位</w:t>
      </w:r>
      <w:r>
        <w:rPr>
          <w:rFonts w:hint="eastAsia" w:ascii="仿宋_GB2312"/>
          <w:sz w:val="32"/>
          <w:szCs w:val="32"/>
        </w:rPr>
        <w:t>认真组织开展了</w:t>
      </w:r>
      <w:r>
        <w:rPr>
          <w:rFonts w:hint="default" w:ascii="Times New Roman" w:hAnsi="Times New Roman" w:cs="Times New Roman"/>
          <w:sz w:val="32"/>
          <w:szCs w:val="32"/>
        </w:rPr>
        <w:t>202</w:t>
      </w:r>
      <w:r>
        <w:rPr>
          <w:rFonts w:hint="default" w:ascii="Times New Roman" w:hAnsi="Times New Roman" w:cs="Times New Roman"/>
          <w:sz w:val="32"/>
          <w:szCs w:val="32"/>
          <w:lang w:val="en-US" w:eastAsia="zh-CN"/>
        </w:rPr>
        <w:t>3</w:t>
      </w:r>
      <w:r>
        <w:rPr>
          <w:rFonts w:hint="eastAsia" w:ascii="仿宋_GB2312"/>
          <w:sz w:val="32"/>
          <w:szCs w:val="32"/>
        </w:rPr>
        <w:t>年度项目单位绩效自评工作。经全面综合考核，</w:t>
      </w:r>
      <w:r>
        <w:rPr>
          <w:rFonts w:hint="eastAsia" w:ascii="仿宋_GB2312"/>
          <w:sz w:val="32"/>
          <w:szCs w:val="32"/>
          <w:lang w:eastAsia="zh-CN"/>
        </w:rPr>
        <w:t>我单位</w:t>
      </w:r>
      <w:r>
        <w:rPr>
          <w:rFonts w:hint="eastAsia" w:ascii="Times New Roman" w:hAnsi="Times New Roman" w:cs="Times New Roman"/>
          <w:sz w:val="32"/>
          <w:szCs w:val="32"/>
        </w:rPr>
        <w:t>202</w:t>
      </w:r>
      <w:r>
        <w:rPr>
          <w:rFonts w:hint="eastAsia" w:ascii="Times New Roman" w:hAnsi="Times New Roman" w:cs="Times New Roman"/>
          <w:sz w:val="32"/>
          <w:szCs w:val="32"/>
          <w:lang w:val="en-US" w:eastAsia="zh-CN"/>
        </w:rPr>
        <w:t>3</w:t>
      </w:r>
      <w:r>
        <w:rPr>
          <w:rFonts w:hint="eastAsia" w:ascii="仿宋_GB2312"/>
          <w:sz w:val="32"/>
          <w:szCs w:val="32"/>
        </w:rPr>
        <w:t>年度项目单位绩效自评平均得分为</w:t>
      </w:r>
      <w:r>
        <w:rPr>
          <w:rFonts w:hint="eastAsia" w:ascii="Times New Roman" w:hAnsi="Times New Roman" w:cs="Times New Roman"/>
          <w:sz w:val="32"/>
          <w:szCs w:val="32"/>
          <w:lang w:val="en-US" w:eastAsia="zh-CN"/>
        </w:rPr>
        <w:t>96.39</w:t>
      </w:r>
      <w:r>
        <w:rPr>
          <w:rFonts w:hint="eastAsia" w:ascii="仿宋_GB2312"/>
          <w:sz w:val="32"/>
          <w:szCs w:val="32"/>
        </w:rPr>
        <w:t>分，整体财政资金使用合理、规范，管理有力，较好完成了</w:t>
      </w:r>
      <w:r>
        <w:rPr>
          <w:rFonts w:hint="eastAsia" w:ascii="Times New Roman" w:hAnsi="Times New Roman" w:cs="Times New Roman"/>
          <w:sz w:val="32"/>
          <w:szCs w:val="32"/>
          <w:lang w:val="en-US" w:eastAsia="zh-CN"/>
        </w:rPr>
        <w:t>2023</w:t>
      </w:r>
      <w:r>
        <w:rPr>
          <w:rFonts w:hint="eastAsia" w:ascii="仿宋_GB2312"/>
          <w:sz w:val="32"/>
          <w:szCs w:val="32"/>
        </w:rPr>
        <w:t>年度绩效考核各项目标任务。现将具体绩效自评情况报告如下：</w:t>
      </w:r>
    </w:p>
    <w:p>
      <w:pPr>
        <w:spacing w:line="600" w:lineRule="exact"/>
        <w:ind w:firstLine="640" w:firstLineChars="200"/>
        <w:rPr>
          <w:rFonts w:ascii="楷体" w:hAnsi="楷体" w:eastAsia="楷体"/>
          <w:sz w:val="32"/>
          <w:szCs w:val="32"/>
        </w:rPr>
      </w:pPr>
      <w:r>
        <w:rPr>
          <w:rFonts w:hint="eastAsia" w:ascii="黑体" w:hAnsi="黑体" w:eastAsia="黑体"/>
          <w:sz w:val="32"/>
          <w:szCs w:val="32"/>
        </w:rPr>
        <w:t>一、项目支出基本情况</w:t>
      </w:r>
    </w:p>
    <w:p>
      <w:pPr>
        <w:bidi w:val="0"/>
        <w:rPr>
          <w:rFonts w:ascii="仿宋_GB2312"/>
          <w:sz w:val="32"/>
          <w:szCs w:val="32"/>
          <w:highlight w:val="none"/>
        </w:rPr>
      </w:pPr>
      <w:r>
        <w:rPr>
          <w:rFonts w:hint="eastAsia" w:ascii="仿宋_GB2312"/>
          <w:sz w:val="32"/>
          <w:szCs w:val="32"/>
          <w:highlight w:val="none"/>
        </w:rPr>
        <w:t>本次项目单位自评涉及</w:t>
      </w:r>
      <w:r>
        <w:rPr>
          <w:rFonts w:hint="eastAsia" w:ascii="仿宋_GB2312"/>
          <w:sz w:val="32"/>
          <w:szCs w:val="32"/>
          <w:highlight w:val="none"/>
          <w:lang w:val="en-US" w:eastAsia="zh-CN"/>
        </w:rPr>
        <w:t>我单位机关、事业及河南省科学技术馆，</w:t>
      </w:r>
      <w:r>
        <w:rPr>
          <w:rFonts w:hint="eastAsia" w:ascii="Times New Roman" w:hAnsi="Times New Roman" w:cs="Times New Roman"/>
          <w:sz w:val="32"/>
          <w:szCs w:val="32"/>
          <w:lang w:val="en-US" w:eastAsia="zh-CN"/>
        </w:rPr>
        <w:t>2023</w:t>
      </w:r>
      <w:r>
        <w:rPr>
          <w:rFonts w:hint="eastAsia" w:ascii="仿宋_GB2312" w:hAnsi="仿宋_GB2312" w:cs="仿宋_GB2312"/>
          <w:kern w:val="0"/>
          <w:szCs w:val="32"/>
          <w:highlight w:val="none"/>
        </w:rPr>
        <w:t>年省财政厅批复绩效目标的预算项目</w:t>
      </w:r>
      <w:r>
        <w:rPr>
          <w:rFonts w:hint="eastAsia" w:ascii="Times New Roman" w:hAnsi="Times New Roman" w:cs="Times New Roman"/>
          <w:sz w:val="32"/>
          <w:szCs w:val="32"/>
          <w:lang w:val="en-US" w:eastAsia="zh-CN"/>
        </w:rPr>
        <w:t>15</w:t>
      </w:r>
      <w:r>
        <w:rPr>
          <w:rFonts w:hint="eastAsia" w:ascii="仿宋_GB2312" w:hAnsi="仿宋_GB2312" w:cs="仿宋_GB2312"/>
          <w:kern w:val="0"/>
          <w:szCs w:val="32"/>
          <w:highlight w:val="none"/>
        </w:rPr>
        <w:t>个</w:t>
      </w:r>
      <w:r>
        <w:rPr>
          <w:rFonts w:hint="eastAsia" w:ascii="仿宋_GB2312"/>
          <w:sz w:val="32"/>
          <w:szCs w:val="32"/>
          <w:highlight w:val="none"/>
        </w:rPr>
        <w:t>预算资金</w:t>
      </w:r>
      <w:r>
        <w:rPr>
          <w:rFonts w:hint="eastAsia" w:ascii="Times New Roman" w:hAnsi="Times New Roman" w:cs="Times New Roman"/>
          <w:sz w:val="32"/>
          <w:szCs w:val="32"/>
          <w:lang w:val="en-US" w:eastAsia="zh-CN"/>
        </w:rPr>
        <w:t>7863.66</w:t>
      </w:r>
      <w:r>
        <w:rPr>
          <w:rFonts w:hint="eastAsia" w:ascii="仿宋_GB2312"/>
          <w:sz w:val="32"/>
          <w:szCs w:val="32"/>
          <w:highlight w:val="none"/>
        </w:rPr>
        <w:t>万元,部门年度预算执行数为</w:t>
      </w:r>
      <w:r>
        <w:rPr>
          <w:rFonts w:hint="eastAsia" w:ascii="Times New Roman" w:hAnsi="Times New Roman" w:cs="Times New Roman"/>
          <w:sz w:val="32"/>
          <w:szCs w:val="32"/>
          <w:lang w:val="en-US" w:eastAsia="zh-CN"/>
        </w:rPr>
        <w:t>6780.62</w:t>
      </w:r>
      <w:r>
        <w:rPr>
          <w:rFonts w:hint="eastAsia" w:ascii="仿宋_GB2312"/>
          <w:sz w:val="32"/>
          <w:szCs w:val="32"/>
          <w:highlight w:val="none"/>
        </w:rPr>
        <w:t>万元，预算执行率为</w:t>
      </w:r>
      <w:r>
        <w:rPr>
          <w:rFonts w:hint="eastAsia" w:ascii="Times New Roman" w:hAnsi="Times New Roman" w:cs="Times New Roman"/>
          <w:sz w:val="32"/>
          <w:szCs w:val="32"/>
          <w:lang w:val="en-US" w:eastAsia="zh-CN"/>
        </w:rPr>
        <w:t>86.23%</w:t>
      </w:r>
      <w:r>
        <w:rPr>
          <w:rFonts w:hint="eastAsia" w:ascii="仿宋_GB2312"/>
          <w:sz w:val="32"/>
          <w:szCs w:val="32"/>
          <w:highlight w:val="none"/>
        </w:rPr>
        <w:t>，</w:t>
      </w:r>
      <w:r>
        <w:rPr>
          <w:rFonts w:hint="eastAsia" w:ascii="仿宋_GB2312"/>
          <w:sz w:val="32"/>
          <w:szCs w:val="32"/>
          <w:highlight w:val="none"/>
          <w:lang w:val="en-US" w:eastAsia="zh-CN"/>
        </w:rPr>
        <w:t>预算执行情况较好</w:t>
      </w:r>
      <w:r>
        <w:rPr>
          <w:rFonts w:hint="eastAsia" w:ascii="仿宋_GB2312"/>
          <w:sz w:val="32"/>
          <w:szCs w:val="32"/>
          <w:highlight w:val="none"/>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二、绩效自评工作开展情况</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（一）自评对象及范围</w:t>
      </w:r>
    </w:p>
    <w:p>
      <w:pPr>
        <w:spacing w:line="600" w:lineRule="exact"/>
        <w:ind w:firstLine="640" w:firstLineChars="200"/>
        <w:rPr>
          <w:rFonts w:ascii="仿宋_GB2312"/>
          <w:sz w:val="32"/>
          <w:szCs w:val="32"/>
        </w:rPr>
      </w:pPr>
      <w:r>
        <w:rPr>
          <w:rFonts w:hint="eastAsia" w:ascii="仿宋_GB2312"/>
          <w:sz w:val="32"/>
          <w:szCs w:val="32"/>
        </w:rPr>
        <w:t>本次自评对象为202</w:t>
      </w:r>
      <w:r>
        <w:rPr>
          <w:rFonts w:hint="eastAsia" w:ascii="仿宋_GB2312"/>
          <w:sz w:val="32"/>
          <w:szCs w:val="32"/>
          <w:lang w:val="en-US" w:eastAsia="zh-CN"/>
        </w:rPr>
        <w:t>3</w:t>
      </w:r>
      <w:r>
        <w:rPr>
          <w:rFonts w:hint="eastAsia" w:ascii="仿宋_GB2312"/>
          <w:sz w:val="32"/>
          <w:szCs w:val="32"/>
        </w:rPr>
        <w:t>年度省级财政批复绩效目标的所有项目</w:t>
      </w:r>
      <w:r>
        <w:rPr>
          <w:rFonts w:hint="eastAsia" w:ascii="仿宋_GB2312"/>
          <w:sz w:val="32"/>
          <w:szCs w:val="32"/>
          <w:lang w:eastAsia="zh-CN"/>
        </w:rPr>
        <w:t>，</w:t>
      </w:r>
      <w:r>
        <w:rPr>
          <w:rFonts w:hint="eastAsia" w:ascii="仿宋_GB2312"/>
          <w:sz w:val="32"/>
          <w:szCs w:val="32"/>
          <w:lang w:val="en-US" w:eastAsia="zh-CN"/>
        </w:rPr>
        <w:t>合计15个</w:t>
      </w:r>
      <w:r>
        <w:rPr>
          <w:rFonts w:hint="eastAsia" w:ascii="仿宋_GB2312"/>
          <w:sz w:val="32"/>
          <w:szCs w:val="32"/>
        </w:rPr>
        <w:t>。</w:t>
      </w:r>
      <w:r>
        <w:rPr>
          <w:rFonts w:hint="eastAsia" w:ascii="仿宋_GB2312"/>
          <w:sz w:val="32"/>
          <w:szCs w:val="32"/>
          <w:lang w:eastAsia="zh-CN"/>
        </w:rPr>
        <w:t>我单位</w:t>
      </w:r>
      <w:r>
        <w:rPr>
          <w:rFonts w:hint="eastAsia" w:ascii="仿宋_GB2312"/>
          <w:sz w:val="32"/>
          <w:szCs w:val="32"/>
        </w:rPr>
        <w:t>办公室（计财部）牵头本次绩效自评的组织和管理，各预算资金使用部门负责具体绩效评价工作的实施开展。</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（二）自评目的及内容</w:t>
      </w:r>
    </w:p>
    <w:p>
      <w:pPr>
        <w:spacing w:line="600" w:lineRule="exact"/>
        <w:ind w:firstLine="640" w:firstLineChars="200"/>
        <w:rPr>
          <w:rFonts w:ascii="仿宋_GB2312"/>
          <w:sz w:val="32"/>
          <w:szCs w:val="32"/>
        </w:rPr>
      </w:pPr>
      <w:r>
        <w:rPr>
          <w:rFonts w:hint="eastAsia" w:ascii="仿宋_GB2312"/>
          <w:sz w:val="32"/>
          <w:szCs w:val="32"/>
        </w:rPr>
        <w:t>1.自评目的</w:t>
      </w:r>
    </w:p>
    <w:p>
      <w:pPr>
        <w:spacing w:line="600" w:lineRule="exact"/>
        <w:ind w:firstLine="640" w:firstLineChars="200"/>
        <w:rPr>
          <w:rFonts w:ascii="仿宋_GB2312"/>
          <w:sz w:val="32"/>
          <w:szCs w:val="32"/>
        </w:rPr>
      </w:pPr>
      <w:r>
        <w:rPr>
          <w:rFonts w:hint="eastAsia" w:ascii="仿宋_GB2312"/>
          <w:sz w:val="32"/>
          <w:szCs w:val="32"/>
        </w:rPr>
        <w:t>本次自评的主要目的是通过调研分析项目决策情况、组织管理情况、资金使用情况和目标达成情况，从预算执行情况、</w:t>
      </w:r>
      <w:r>
        <w:rPr>
          <w:rFonts w:hint="eastAsia" w:ascii="仿宋_GB2312"/>
          <w:sz w:val="32"/>
          <w:szCs w:val="32"/>
          <w:lang w:val="en-US" w:eastAsia="zh-CN"/>
        </w:rPr>
        <w:t>成本、</w:t>
      </w:r>
      <w:r>
        <w:rPr>
          <w:rFonts w:hint="eastAsia" w:ascii="仿宋_GB2312"/>
          <w:sz w:val="32"/>
          <w:szCs w:val="32"/>
        </w:rPr>
        <w:t>产出、效益和满意度</w:t>
      </w:r>
      <w:r>
        <w:rPr>
          <w:rFonts w:hint="eastAsia" w:ascii="仿宋_GB2312"/>
          <w:sz w:val="32"/>
          <w:szCs w:val="32"/>
          <w:lang w:val="en-US" w:eastAsia="zh-CN"/>
        </w:rPr>
        <w:t>五</w:t>
      </w:r>
      <w:r>
        <w:rPr>
          <w:rFonts w:hint="eastAsia" w:ascii="仿宋_GB2312"/>
          <w:sz w:val="32"/>
          <w:szCs w:val="32"/>
        </w:rPr>
        <w:t>个维度对</w:t>
      </w:r>
      <w:r>
        <w:rPr>
          <w:rFonts w:hint="eastAsia" w:ascii="Times New Roman" w:hAnsi="Times New Roman" w:cs="Times New Roman"/>
          <w:sz w:val="32"/>
          <w:szCs w:val="32"/>
          <w:lang w:val="en-US" w:eastAsia="zh-CN"/>
        </w:rPr>
        <w:t>2023</w:t>
      </w:r>
      <w:r>
        <w:rPr>
          <w:rFonts w:hint="eastAsia" w:ascii="仿宋_GB2312"/>
          <w:sz w:val="32"/>
          <w:szCs w:val="32"/>
        </w:rPr>
        <w:t>年度预算资金进行绩效评价，总结工作经验，发现实施管理中存在的问题和不足，提出改进意见和建议，推进</w:t>
      </w:r>
      <w:r>
        <w:rPr>
          <w:rFonts w:hint="eastAsia" w:ascii="仿宋_GB2312"/>
          <w:sz w:val="32"/>
          <w:szCs w:val="32"/>
          <w:lang w:eastAsia="zh-CN"/>
        </w:rPr>
        <w:t>我单位</w:t>
      </w:r>
      <w:r>
        <w:rPr>
          <w:rFonts w:hint="eastAsia" w:ascii="仿宋_GB2312"/>
          <w:sz w:val="32"/>
          <w:szCs w:val="32"/>
        </w:rPr>
        <w:t>事业拓展提升，进一步提高财政资金使用效益。</w:t>
      </w:r>
    </w:p>
    <w:p>
      <w:pPr>
        <w:spacing w:line="600" w:lineRule="exact"/>
        <w:ind w:firstLine="640" w:firstLineChars="200"/>
        <w:rPr>
          <w:rFonts w:ascii="仿宋_GB2312"/>
          <w:sz w:val="32"/>
          <w:szCs w:val="32"/>
        </w:rPr>
      </w:pPr>
      <w:r>
        <w:rPr>
          <w:rFonts w:hint="eastAsia" w:ascii="仿宋_GB2312"/>
          <w:sz w:val="32"/>
          <w:szCs w:val="32"/>
        </w:rPr>
        <w:t>2.主要内容</w:t>
      </w:r>
    </w:p>
    <w:p>
      <w:pPr>
        <w:spacing w:line="600" w:lineRule="exact"/>
        <w:ind w:firstLine="640" w:firstLineChars="200"/>
        <w:rPr>
          <w:rFonts w:ascii="仿宋_GB2312"/>
          <w:sz w:val="32"/>
          <w:szCs w:val="32"/>
        </w:rPr>
      </w:pPr>
      <w:r>
        <w:rPr>
          <w:rFonts w:hint="eastAsia" w:ascii="仿宋_GB2312"/>
          <w:sz w:val="32"/>
          <w:szCs w:val="32"/>
        </w:rPr>
        <w:t>本次自评主要围绕预算资金绩效目标的设定情况、资金投入和使用情况、为实现绩效目标制定的制度、采取的措施等、绩效目标的实现程度及效果等方面开展绩效自评。</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（三）自评工作布置</w:t>
      </w:r>
    </w:p>
    <w:p>
      <w:pPr>
        <w:bidi w:val="0"/>
        <w:rPr>
          <w:rFonts w:ascii="仿宋_GB2312"/>
          <w:sz w:val="32"/>
          <w:szCs w:val="32"/>
        </w:rPr>
      </w:pPr>
      <w:r>
        <w:rPr>
          <w:rFonts w:hint="eastAsia" w:ascii="仿宋_GB2312"/>
          <w:sz w:val="32"/>
          <w:szCs w:val="32"/>
        </w:rPr>
        <w:t>根据中共河南省委、河南省人民政府《关于全面实施预算绩效管理的实施意见》文件精神，按照省财政厅</w:t>
      </w:r>
      <w:r>
        <w:rPr>
          <w:rFonts w:hint="eastAsia"/>
        </w:rPr>
        <w:t>《河南省财政厅关于开展</w:t>
      </w:r>
      <w:r>
        <w:rPr>
          <w:rFonts w:hint="default" w:ascii="Times New Roman" w:hAnsi="Times New Roman" w:cs="Times New Roman"/>
        </w:rPr>
        <w:t>202</w:t>
      </w:r>
      <w:r>
        <w:rPr>
          <w:rFonts w:hint="default" w:ascii="Times New Roman" w:hAnsi="Times New Roman" w:cs="Times New Roman"/>
          <w:lang w:val="en-US" w:eastAsia="zh-CN"/>
        </w:rPr>
        <w:t>4</w:t>
      </w:r>
      <w:r>
        <w:rPr>
          <w:rFonts w:hint="eastAsia"/>
        </w:rPr>
        <w:t>年度省级绩效自评和部门评价工作的通知》（豫财效</w:t>
      </w:r>
      <w:r>
        <w:rPr>
          <w:rFonts w:hint="default" w:ascii="Times New Roman" w:hAnsi="Times New Roman" w:eastAsia="楷体" w:cs="Times New Roman"/>
        </w:rPr>
        <w:t>〔</w:t>
      </w:r>
      <w:r>
        <w:rPr>
          <w:rFonts w:hint="default" w:ascii="Times New Roman" w:hAnsi="Times New Roman" w:cs="Times New Roman"/>
        </w:rPr>
        <w:t>202</w:t>
      </w:r>
      <w:r>
        <w:rPr>
          <w:rFonts w:hint="default" w:ascii="Times New Roman" w:hAnsi="Times New Roman" w:cs="Times New Roman"/>
          <w:lang w:val="en-US" w:eastAsia="zh-CN"/>
        </w:rPr>
        <w:t>4</w:t>
      </w:r>
      <w:r>
        <w:rPr>
          <w:rFonts w:hint="default" w:ascii="Times New Roman" w:hAnsi="Times New Roman" w:eastAsia="楷体" w:cs="Times New Roman"/>
        </w:rPr>
        <w:t>〕</w:t>
      </w:r>
      <w:r>
        <w:rPr>
          <w:rFonts w:hint="eastAsia" w:ascii="楷体" w:hAnsi="楷体" w:eastAsia="楷体"/>
          <w:lang w:val="en-US" w:eastAsia="zh-CN"/>
        </w:rPr>
        <w:t>1</w:t>
      </w:r>
      <w:r>
        <w:rPr>
          <w:rFonts w:hint="eastAsia" w:ascii="楷体" w:hAnsi="楷体" w:eastAsia="楷体"/>
        </w:rPr>
        <w:t>号</w:t>
      </w:r>
      <w:r>
        <w:rPr>
          <w:rFonts w:hint="eastAsia"/>
        </w:rPr>
        <w:t>）</w:t>
      </w:r>
      <w:r>
        <w:rPr>
          <w:rFonts w:hint="eastAsia" w:ascii="仿宋_GB2312"/>
          <w:sz w:val="32"/>
          <w:szCs w:val="32"/>
        </w:rPr>
        <w:t>要求，</w:t>
      </w:r>
      <w:r>
        <w:rPr>
          <w:rFonts w:hint="eastAsia" w:ascii="仿宋_GB2312"/>
          <w:sz w:val="32"/>
          <w:szCs w:val="32"/>
          <w:lang w:eastAsia="zh-CN"/>
        </w:rPr>
        <w:t>我单位</w:t>
      </w:r>
      <w:r>
        <w:rPr>
          <w:rFonts w:hint="eastAsia" w:ascii="仿宋_GB2312"/>
          <w:sz w:val="32"/>
          <w:szCs w:val="32"/>
        </w:rPr>
        <w:t>高度重视本次绩效自评工作，以河南省财政厅一体化业务数字平台系统绩效管理模块项目单位自评表为依据，及时通知并下发各预算执行部门（单位）对应的自评表，要求各预算执行部门（单位）按照“谁支出、谁负责”的原则，对年度项目资金预算资金执行情况绩效目标的实现情况进行全面评价。</w:t>
      </w:r>
    </w:p>
    <w:p>
      <w:pPr>
        <w:spacing w:line="600" w:lineRule="exact"/>
        <w:ind w:firstLine="640" w:firstLineChars="200"/>
        <w:rPr>
          <w:rFonts w:hint="eastAsia" w:ascii="楷体" w:hAnsi="楷体" w:eastAsia="楷体"/>
          <w:sz w:val="32"/>
          <w:szCs w:val="32"/>
        </w:rPr>
      </w:pPr>
    </w:p>
    <w:p>
      <w:pPr>
        <w:spacing w:line="600" w:lineRule="exact"/>
        <w:ind w:firstLine="640" w:firstLineChars="200"/>
        <w:rPr>
          <w:rFonts w:ascii="楷体" w:hAnsi="楷体" w:eastAsia="楷体"/>
          <w:sz w:val="32"/>
          <w:szCs w:val="32"/>
        </w:rPr>
      </w:pPr>
      <w:r>
        <w:rPr>
          <w:rFonts w:hint="eastAsia" w:ascii="楷体" w:hAnsi="楷体" w:eastAsia="楷体"/>
          <w:sz w:val="32"/>
          <w:szCs w:val="32"/>
        </w:rPr>
        <w:t>（四）自评开展方法</w:t>
      </w:r>
    </w:p>
    <w:p>
      <w:pPr>
        <w:bidi w:val="0"/>
      </w:pPr>
      <w:r>
        <w:rPr>
          <w:rFonts w:hint="eastAsia"/>
        </w:rPr>
        <w:t>本次绩效自评以基础数据核实、调查研究、抽样及非现场评价等方法，从资金管理、投入产出、实施效益、服务满意和可持续性等方面对项目预算执行情况、年度总体绩效目标完成情况、各项目绩效指标完成情况进行了综合评价。通过绩效评价，充分了解年初预算执行情况和项目预期绩效目标实现情况，为完善政策和强化资金管理提供决策参考，进一步提高财政资金使用效益，为科协事业又好又快发展提供坚实的财力保障。</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（五）自评组织实施</w:t>
      </w:r>
    </w:p>
    <w:p>
      <w:pPr>
        <w:spacing w:line="600" w:lineRule="exact"/>
        <w:ind w:firstLine="640" w:firstLineChars="200"/>
        <w:rPr>
          <w:rFonts w:ascii="仿宋_GB2312"/>
          <w:sz w:val="32"/>
          <w:szCs w:val="32"/>
        </w:rPr>
      </w:pPr>
      <w:r>
        <w:rPr>
          <w:rFonts w:hint="eastAsia" w:ascii="仿宋_GB2312"/>
          <w:sz w:val="32"/>
          <w:szCs w:val="32"/>
        </w:rPr>
        <w:t>本次绩效自评工作具体实施分为四个阶段：</w:t>
      </w:r>
    </w:p>
    <w:p>
      <w:pPr>
        <w:spacing w:line="600" w:lineRule="exact"/>
        <w:ind w:firstLine="640" w:firstLineChars="200"/>
        <w:rPr>
          <w:rFonts w:ascii="仿宋_GB2312"/>
          <w:sz w:val="32"/>
          <w:szCs w:val="32"/>
        </w:rPr>
      </w:pPr>
      <w:r>
        <w:rPr>
          <w:rFonts w:hint="eastAsia" w:ascii="仿宋_GB2312"/>
          <w:sz w:val="32"/>
          <w:szCs w:val="32"/>
        </w:rPr>
        <w:t>一是准备阶段。</w:t>
      </w:r>
      <w:bookmarkStart w:id="1" w:name="_Hlk69720456"/>
      <w:r>
        <w:rPr>
          <w:rFonts w:hint="eastAsia" w:ascii="仿宋_GB2312"/>
          <w:sz w:val="32"/>
          <w:szCs w:val="32"/>
          <w:lang w:eastAsia="zh-CN"/>
        </w:rPr>
        <w:t>我单位</w:t>
      </w:r>
      <w:r>
        <w:rPr>
          <w:rFonts w:hint="eastAsia" w:ascii="仿宋_GB2312"/>
          <w:sz w:val="32"/>
          <w:szCs w:val="32"/>
        </w:rPr>
        <w:t>办公室（计财部）牵头收集相关资料，明确自评指标体系及权重分值，制定自评工作计划，下发</w:t>
      </w:r>
      <w:r>
        <w:rPr>
          <w:rFonts w:hint="eastAsia" w:ascii="仿宋_GB2312"/>
          <w:sz w:val="32"/>
          <w:szCs w:val="32"/>
          <w:highlight w:val="none"/>
          <w:lang w:eastAsia="zh-CN"/>
        </w:rPr>
        <w:t>《</w:t>
      </w:r>
      <w:r>
        <w:rPr>
          <w:rFonts w:hint="eastAsia" w:ascii="仿宋_GB2312"/>
          <w:sz w:val="32"/>
          <w:szCs w:val="32"/>
          <w:highlight w:val="none"/>
          <w:lang w:val="en-US" w:eastAsia="zh-CN"/>
        </w:rPr>
        <w:t>河南省科学技术协会关于组织实施2024年部门预算绩效评价工作的通知</w:t>
      </w:r>
      <w:r>
        <w:rPr>
          <w:rFonts w:hint="eastAsia" w:ascii="仿宋_GB2312"/>
          <w:sz w:val="32"/>
          <w:szCs w:val="32"/>
          <w:highlight w:val="none"/>
          <w:lang w:eastAsia="zh-CN"/>
        </w:rPr>
        <w:t>》（</w:t>
      </w:r>
      <w:r>
        <w:rPr>
          <w:rFonts w:hint="eastAsia" w:ascii="仿宋_GB2312"/>
          <w:sz w:val="32"/>
          <w:szCs w:val="32"/>
          <w:highlight w:val="none"/>
          <w:lang w:val="en-US" w:eastAsia="zh-CN"/>
        </w:rPr>
        <w:t>豫科协发</w:t>
      </w: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2024</w:t>
      </w: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32号</w:t>
      </w:r>
      <w:r>
        <w:rPr>
          <w:rFonts w:hint="eastAsia" w:ascii="仿宋_GB2312"/>
          <w:sz w:val="32"/>
          <w:szCs w:val="32"/>
          <w:highlight w:val="none"/>
          <w:lang w:eastAsia="zh-CN"/>
        </w:rPr>
        <w:t>）</w:t>
      </w:r>
      <w:r>
        <w:rPr>
          <w:rFonts w:hint="eastAsia" w:ascii="仿宋_GB2312"/>
          <w:sz w:val="32"/>
          <w:szCs w:val="32"/>
          <w:lang w:val="en-US" w:eastAsia="zh-CN"/>
        </w:rPr>
        <w:t>文件，</w:t>
      </w:r>
      <w:r>
        <w:rPr>
          <w:rFonts w:hint="eastAsia" w:ascii="仿宋_GB2312"/>
          <w:sz w:val="32"/>
          <w:szCs w:val="32"/>
        </w:rPr>
        <w:t>由各项目管理部门汇总各项目承担单位完成情况的基础上，填报相关数据，并保留相关证明材料</w:t>
      </w:r>
      <w:bookmarkEnd w:id="1"/>
      <w:r>
        <w:rPr>
          <w:rFonts w:hint="eastAsia" w:ascii="仿宋_GB2312"/>
          <w:sz w:val="32"/>
          <w:szCs w:val="32"/>
        </w:rPr>
        <w:t>备查。</w:t>
      </w:r>
    </w:p>
    <w:p>
      <w:pPr>
        <w:spacing w:line="600" w:lineRule="exact"/>
        <w:ind w:firstLine="640" w:firstLineChars="200"/>
        <w:rPr>
          <w:rFonts w:ascii="仿宋_GB2312"/>
          <w:sz w:val="32"/>
          <w:szCs w:val="32"/>
        </w:rPr>
      </w:pPr>
      <w:r>
        <w:rPr>
          <w:rFonts w:hint="eastAsia" w:ascii="仿宋_GB2312"/>
          <w:sz w:val="32"/>
          <w:szCs w:val="32"/>
        </w:rPr>
        <w:t>二是指标体系完善阶段。</w:t>
      </w:r>
      <w:bookmarkStart w:id="2" w:name="_Hlk69720492"/>
      <w:r>
        <w:rPr>
          <w:rFonts w:hint="eastAsia" w:ascii="仿宋_GB2312"/>
          <w:sz w:val="32"/>
          <w:szCs w:val="32"/>
        </w:rPr>
        <w:t>根据多渠道收集的评价资料，围绕科协事业发展总体目标任务，并结合全国和我</w:t>
      </w:r>
      <w:r>
        <w:rPr>
          <w:rFonts w:hint="eastAsia" w:ascii="仿宋_GB2312"/>
          <w:sz w:val="32"/>
          <w:szCs w:val="32"/>
          <w:lang w:val="en-US" w:eastAsia="zh-CN"/>
        </w:rPr>
        <w:t>省科协</w:t>
      </w:r>
      <w:r>
        <w:rPr>
          <w:rFonts w:hint="eastAsia" w:ascii="仿宋_GB2312"/>
          <w:sz w:val="32"/>
          <w:szCs w:val="32"/>
        </w:rPr>
        <w:t>事业发展现状，确定了部分指标权重分值，进一步优化评价指标的科学性和合理性。</w:t>
      </w:r>
      <w:bookmarkEnd w:id="2"/>
    </w:p>
    <w:p>
      <w:pPr>
        <w:spacing w:line="600" w:lineRule="exact"/>
        <w:ind w:firstLine="640" w:firstLineChars="200"/>
        <w:rPr>
          <w:rFonts w:ascii="仿宋_GB2312"/>
          <w:sz w:val="32"/>
          <w:szCs w:val="32"/>
        </w:rPr>
      </w:pPr>
      <w:r>
        <w:rPr>
          <w:rFonts w:hint="eastAsia" w:ascii="仿宋_GB2312"/>
          <w:sz w:val="32"/>
          <w:szCs w:val="32"/>
        </w:rPr>
        <w:t>三是核查阶段。</w:t>
      </w:r>
      <w:bookmarkStart w:id="3" w:name="_Hlk69720526"/>
      <w:r>
        <w:rPr>
          <w:rFonts w:hint="eastAsia" w:ascii="仿宋_GB2312"/>
          <w:sz w:val="32"/>
          <w:szCs w:val="32"/>
        </w:rPr>
        <w:t>通过网络检索、查阅资料等方式，围绕财政厅自评相关要求，对各项目管理部门提交的评价资料进行抽查核实。</w:t>
      </w:r>
      <w:bookmarkEnd w:id="3"/>
    </w:p>
    <w:p>
      <w:pPr>
        <w:spacing w:line="600" w:lineRule="exact"/>
        <w:ind w:firstLine="640" w:firstLineChars="200"/>
        <w:rPr>
          <w:rFonts w:ascii="仿宋_GB2312"/>
          <w:sz w:val="32"/>
          <w:szCs w:val="32"/>
        </w:rPr>
      </w:pPr>
      <w:r>
        <w:rPr>
          <w:rFonts w:hint="eastAsia" w:ascii="仿宋_GB2312"/>
          <w:sz w:val="32"/>
          <w:szCs w:val="32"/>
        </w:rPr>
        <w:t>四是数据分析与报告撰写阶段。</w:t>
      </w:r>
      <w:bookmarkStart w:id="4" w:name="_Hlk69720618"/>
      <w:r>
        <w:rPr>
          <w:rFonts w:hint="eastAsia" w:ascii="仿宋_GB2312"/>
          <w:sz w:val="32"/>
          <w:szCs w:val="32"/>
        </w:rPr>
        <w:t>依据抽样核查情况和各项目管理部门提供的绩效评价资料，经过数据整理、综合分析，运用历史与当期比较、目标与成果比较等方法，对预算资金进行全面评价，最终形成绩效评价报告</w:t>
      </w:r>
      <w:bookmarkEnd w:id="4"/>
      <w:r>
        <w:rPr>
          <w:rFonts w:hint="eastAsia" w:ascii="仿宋_GB2312"/>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三、绩效自评结果及分析</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（一）</w:t>
      </w:r>
      <w:r>
        <w:rPr>
          <w:rFonts w:hint="eastAsia" w:ascii="楷体" w:hAnsi="楷体" w:eastAsia="楷体"/>
          <w:sz w:val="32"/>
          <w:szCs w:val="32"/>
          <w:lang w:eastAsia="zh-CN"/>
        </w:rPr>
        <w:t>项目</w:t>
      </w:r>
      <w:r>
        <w:rPr>
          <w:rFonts w:hint="eastAsia" w:ascii="楷体" w:hAnsi="楷体" w:eastAsia="楷体"/>
          <w:color w:val="auto"/>
          <w:sz w:val="32"/>
          <w:szCs w:val="32"/>
        </w:rPr>
        <w:t>总体</w:t>
      </w:r>
      <w:r>
        <w:rPr>
          <w:rFonts w:hint="eastAsia" w:ascii="楷体" w:hAnsi="楷体" w:eastAsia="楷体"/>
          <w:sz w:val="32"/>
          <w:szCs w:val="32"/>
        </w:rPr>
        <w:t>绩效自评结果</w:t>
      </w:r>
    </w:p>
    <w:p>
      <w:pPr>
        <w:spacing w:line="600" w:lineRule="exact"/>
        <w:ind w:firstLine="640" w:firstLineChars="200"/>
        <w:rPr>
          <w:rFonts w:hint="default" w:ascii="仿宋_GB2312"/>
          <w:sz w:val="32"/>
          <w:szCs w:val="32"/>
          <w:lang w:val="en-US"/>
        </w:rPr>
      </w:pPr>
      <w:r>
        <w:rPr>
          <w:rFonts w:hint="eastAsia" w:ascii="Times New Roman" w:hAnsi="Times New Roman" w:cs="Times New Roman"/>
          <w:sz w:val="32"/>
          <w:szCs w:val="32"/>
          <w:lang w:val="en-US" w:eastAsia="zh-CN"/>
        </w:rPr>
        <w:t>2023</w:t>
      </w:r>
      <w:r>
        <w:rPr>
          <w:rFonts w:hint="eastAsia" w:ascii="仿宋_GB2312"/>
          <w:sz w:val="32"/>
          <w:szCs w:val="32"/>
        </w:rPr>
        <w:t>年，</w:t>
      </w:r>
      <w:r>
        <w:rPr>
          <w:rFonts w:hint="eastAsia" w:ascii="仿宋_GB2312"/>
          <w:sz w:val="32"/>
          <w:szCs w:val="32"/>
          <w:lang w:eastAsia="zh-CN"/>
        </w:rPr>
        <w:t>我单位</w:t>
      </w:r>
      <w:r>
        <w:rPr>
          <w:rFonts w:hint="eastAsia" w:ascii="仿宋_GB2312"/>
          <w:sz w:val="32"/>
          <w:szCs w:val="32"/>
        </w:rPr>
        <w:t>预算资金项目总体立项规范，经费使用合理，各项目管理制度比较健全且能有效执行，有效促进了我</w:t>
      </w:r>
      <w:r>
        <w:rPr>
          <w:rFonts w:hint="eastAsia" w:ascii="仿宋_GB2312"/>
          <w:sz w:val="32"/>
          <w:szCs w:val="32"/>
          <w:lang w:val="en-US" w:eastAsia="zh-CN"/>
        </w:rPr>
        <w:t>省科协</w:t>
      </w:r>
      <w:r>
        <w:rPr>
          <w:rFonts w:hint="eastAsia" w:ascii="仿宋_GB2312"/>
          <w:sz w:val="32"/>
          <w:szCs w:val="32"/>
        </w:rPr>
        <w:t>事业发展，提升了科协系统履职尽责的能力，较好地完成了各项年度预期绩效目标，取得了良好的经济效益和社会效益。</w:t>
      </w:r>
      <w:r>
        <w:rPr>
          <w:rFonts w:hint="eastAsia" w:ascii="仿宋_GB2312"/>
          <w:sz w:val="32"/>
          <w:szCs w:val="32"/>
          <w:lang w:val="en-US" w:eastAsia="zh-CN"/>
        </w:rPr>
        <w:t>从自评得分情况来看，绩效自评在</w:t>
      </w:r>
      <w:r>
        <w:rPr>
          <w:rFonts w:hint="eastAsia" w:ascii="Times New Roman" w:hAnsi="Times New Roman" w:cs="Times New Roman"/>
          <w:sz w:val="32"/>
          <w:szCs w:val="32"/>
          <w:lang w:val="en-US" w:eastAsia="zh-CN"/>
        </w:rPr>
        <w:t>90</w:t>
      </w:r>
      <w:r>
        <w:rPr>
          <w:rFonts w:hint="eastAsia" w:ascii="仿宋_GB2312"/>
          <w:sz w:val="32"/>
          <w:szCs w:val="32"/>
          <w:lang w:val="en-US" w:eastAsia="zh-CN"/>
        </w:rPr>
        <w:t>分及以上的占比</w:t>
      </w:r>
      <w:r>
        <w:rPr>
          <w:rFonts w:hint="eastAsia" w:ascii="Times New Roman" w:hAnsi="Times New Roman" w:cs="Times New Roman"/>
          <w:sz w:val="32"/>
          <w:szCs w:val="32"/>
          <w:lang w:val="en-US" w:eastAsia="zh-CN"/>
        </w:rPr>
        <w:t>86.67%</w:t>
      </w:r>
      <w:r>
        <w:rPr>
          <w:rFonts w:hint="eastAsia" w:ascii="仿宋_GB2312"/>
          <w:sz w:val="32"/>
          <w:szCs w:val="32"/>
          <w:lang w:val="en-US" w:eastAsia="zh-CN"/>
        </w:rPr>
        <w:t>，较好的完成了绩效目标；从预算资金执行来看，项目</w:t>
      </w:r>
      <w:r>
        <w:rPr>
          <w:rFonts w:hint="eastAsia" w:ascii="仿宋_GB2312"/>
          <w:sz w:val="32"/>
          <w:szCs w:val="32"/>
          <w:highlight w:val="none"/>
        </w:rPr>
        <w:t>预算资金</w:t>
      </w:r>
      <w:r>
        <w:rPr>
          <w:rFonts w:hint="eastAsia" w:ascii="Times New Roman" w:hAnsi="Times New Roman" w:cs="Times New Roman"/>
          <w:sz w:val="32"/>
          <w:szCs w:val="32"/>
          <w:lang w:val="en-US" w:eastAsia="zh-CN"/>
        </w:rPr>
        <w:t>7863.66</w:t>
      </w:r>
      <w:r>
        <w:rPr>
          <w:rFonts w:hint="eastAsia" w:ascii="仿宋_GB2312"/>
          <w:sz w:val="32"/>
          <w:szCs w:val="32"/>
          <w:highlight w:val="none"/>
        </w:rPr>
        <w:t>万元,预算执行数为</w:t>
      </w:r>
      <w:r>
        <w:rPr>
          <w:rFonts w:hint="eastAsia" w:ascii="Times New Roman" w:hAnsi="Times New Roman" w:cs="Times New Roman"/>
          <w:sz w:val="32"/>
          <w:szCs w:val="32"/>
          <w:lang w:val="en-US" w:eastAsia="zh-CN"/>
        </w:rPr>
        <w:t>6780.62</w:t>
      </w:r>
      <w:r>
        <w:rPr>
          <w:rFonts w:hint="eastAsia" w:ascii="仿宋_GB2312"/>
          <w:sz w:val="32"/>
          <w:szCs w:val="32"/>
          <w:highlight w:val="none"/>
        </w:rPr>
        <w:t>万元，预算执行率为</w:t>
      </w:r>
      <w:r>
        <w:rPr>
          <w:rFonts w:hint="eastAsia" w:ascii="Times New Roman" w:hAnsi="Times New Roman" w:cs="Times New Roman"/>
          <w:sz w:val="32"/>
          <w:szCs w:val="32"/>
          <w:lang w:val="en-US" w:eastAsia="zh-CN"/>
        </w:rPr>
        <w:t>86.23%</w:t>
      </w:r>
      <w:r>
        <w:rPr>
          <w:rFonts w:hint="eastAsia" w:ascii="仿宋_GB2312"/>
          <w:sz w:val="32"/>
          <w:szCs w:val="32"/>
          <w:highlight w:val="none"/>
        </w:rPr>
        <w:t>，</w:t>
      </w:r>
      <w:r>
        <w:rPr>
          <w:rFonts w:hint="eastAsia" w:ascii="仿宋_GB2312"/>
          <w:sz w:val="32"/>
          <w:szCs w:val="32"/>
          <w:highlight w:val="none"/>
          <w:lang w:val="en-US" w:eastAsia="zh-CN"/>
        </w:rPr>
        <w:t>预算执行情况较好；从资金管理情况来看，各部门均严格按照财政厅专项资金管理的要求执行，确保专款专用，资金管理情况得分率全部在90%以上，资金管理情况优秀。</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（二）绩效自评分析</w:t>
      </w:r>
    </w:p>
    <w:p>
      <w:pPr>
        <w:spacing w:line="600" w:lineRule="exact"/>
        <w:ind w:firstLine="640" w:firstLineChars="200"/>
        <w:rPr>
          <w:rFonts w:ascii="仿宋_GB2312"/>
          <w:sz w:val="32"/>
          <w:szCs w:val="32"/>
        </w:rPr>
      </w:pPr>
      <w:r>
        <w:rPr>
          <w:rFonts w:hint="eastAsia" w:ascii="仿宋_GB2312"/>
          <w:sz w:val="32"/>
          <w:szCs w:val="32"/>
        </w:rPr>
        <w:t>1.项目绩效指标完成情况</w:t>
      </w:r>
    </w:p>
    <w:p>
      <w:pPr>
        <w:bidi w:val="0"/>
        <w:rPr>
          <w:rFonts w:hint="eastAsia" w:ascii="仿宋_GB2312" w:eastAsia="仿宋_GB2312"/>
          <w:sz w:val="32"/>
          <w:szCs w:val="32"/>
          <w:lang w:val="en-US" w:eastAsia="zh-CN"/>
        </w:rPr>
      </w:pPr>
      <w:r>
        <w:rPr>
          <w:rFonts w:hint="eastAsia" w:cs="Times New Roman"/>
          <w:sz w:val="32"/>
          <w:szCs w:val="32"/>
          <w:lang w:val="en-US" w:eastAsia="zh-CN"/>
        </w:rPr>
        <w:t xml:space="preserve"> </w:t>
      </w:r>
      <w:r>
        <w:rPr>
          <w:rFonts w:hint="eastAsia" w:ascii="Times New Roman" w:hAnsi="Times New Roman" w:cs="Times New Roman"/>
          <w:sz w:val="32"/>
          <w:szCs w:val="32"/>
          <w:lang w:val="en-US" w:eastAsia="zh-CN"/>
        </w:rPr>
        <w:t>2023</w:t>
      </w:r>
      <w:r>
        <w:rPr>
          <w:rFonts w:hint="eastAsia" w:ascii="仿宋_GB2312"/>
          <w:sz w:val="32"/>
          <w:szCs w:val="32"/>
        </w:rPr>
        <w:t>年,</w:t>
      </w:r>
      <w:r>
        <w:rPr>
          <w:rFonts w:hint="eastAsia" w:ascii="仿宋_GB2312"/>
          <w:sz w:val="32"/>
          <w:szCs w:val="32"/>
          <w:lang w:val="en-US" w:eastAsia="zh-CN"/>
        </w:rPr>
        <w:t>我单位</w:t>
      </w:r>
      <w:r>
        <w:rPr>
          <w:rFonts w:hint="eastAsia" w:ascii="仿宋_GB2312"/>
          <w:sz w:val="32"/>
          <w:szCs w:val="32"/>
          <w:lang w:eastAsia="zh-CN"/>
        </w:rPr>
        <w:t>充分发挥财政资金导向作用，进一步提高资金使用效率，团结引领全省广大科技工作者踊跃投身科学普及与科技创新事业，进一步提升科协系统服务科技工作者、服务创新驱动发展、服务公民科学素质提高、服务党和政府科学决策的能力和水平，</w:t>
      </w:r>
      <w:r>
        <w:rPr>
          <w:rFonts w:hint="eastAsia" w:ascii="仿宋_GB2312"/>
          <w:sz w:val="32"/>
          <w:szCs w:val="32"/>
          <w:lang w:val="en-US" w:eastAsia="zh-CN"/>
        </w:rPr>
        <w:t>各项指标完成情况较好。</w:t>
      </w:r>
      <w:r>
        <w:rPr>
          <w:rFonts w:hint="eastAsia" w:ascii="Times New Roman" w:hAnsi="Times New Roman" w:cs="Times New Roman"/>
          <w:sz w:val="32"/>
          <w:szCs w:val="32"/>
          <w:lang w:val="en-US" w:eastAsia="zh-CN"/>
        </w:rPr>
        <w:t>2023</w:t>
      </w:r>
      <w:r>
        <w:rPr>
          <w:rFonts w:hint="eastAsia" w:ascii="仿宋_GB2312"/>
          <w:sz w:val="32"/>
          <w:szCs w:val="32"/>
          <w:lang w:val="en-US" w:eastAsia="zh-CN"/>
        </w:rPr>
        <w:t>年，</w:t>
      </w:r>
      <w:r>
        <w:rPr>
          <w:rFonts w:hint="eastAsia"/>
          <w:lang w:eastAsia="zh-CN"/>
        </w:rPr>
        <w:t>我单位</w:t>
      </w:r>
      <w:r>
        <w:rPr>
          <w:rFonts w:hint="eastAsia"/>
          <w:lang w:val="en-US" w:eastAsia="zh-CN"/>
        </w:rPr>
        <w:t>按照中央、省委和中国科协决策部署，全面落实事业发展“十四五”规划的各项工作任务，不断提高全省各级科协组织的政治判断力、政治领悟力、政治执行力，把科协组织建设得更加充满活力、更加坚强有力，服务科技工作者、服务创新驱动发展战略、服务公民科学素质提高、服务党委和政府科学决策的能力显著增强，成为科技创新的重要力量。一是</w:t>
      </w:r>
      <w:r>
        <w:rPr>
          <w:rFonts w:hint="eastAsia" w:ascii="Times New Roman" w:hAnsi="Times New Roman" w:cs="Times New Roman"/>
        </w:rPr>
        <w:t>服务</w:t>
      </w:r>
      <w:r>
        <w:rPr>
          <w:rFonts w:hint="eastAsia" w:ascii="Times New Roman" w:hAnsi="Times New Roman" w:cs="Times New Roman"/>
          <w:lang w:val="en-US" w:eastAsia="zh-CN"/>
        </w:rPr>
        <w:t>党和政府</w:t>
      </w:r>
      <w:r>
        <w:rPr>
          <w:rFonts w:hint="eastAsia" w:ascii="Times New Roman" w:hAnsi="Times New Roman" w:cs="Times New Roman"/>
        </w:rPr>
        <w:t>科学决策的能力更加突出。进一步提升科协系统服务科技工作者、服务创新驱动发展、服务公民科学素质提高、服务党和政府科学决策的能力和水平</w:t>
      </w:r>
      <w:r>
        <w:rPr>
          <w:rFonts w:hint="eastAsia" w:ascii="Times New Roman" w:hAnsi="Times New Roman" w:cs="Times New Roman"/>
          <w:lang w:eastAsia="zh-CN"/>
        </w:rPr>
        <w:t>；</w:t>
      </w:r>
      <w:r>
        <w:rPr>
          <w:rFonts w:hint="eastAsia" w:cs="Times New Roman"/>
          <w:lang w:val="en-US" w:eastAsia="zh-CN"/>
        </w:rPr>
        <w:t>二是</w:t>
      </w:r>
      <w:r>
        <w:rPr>
          <w:rFonts w:hint="eastAsia" w:ascii="Times New Roman" w:hAnsi="Times New Roman" w:cs="Times New Roman"/>
        </w:rPr>
        <w:t>推动创新驱动发展的能力不断提升。厚植科技事业发展沃土，培育科技创新文化，为河南经济社会发展提供有效的科技支撑</w:t>
      </w:r>
      <w:r>
        <w:rPr>
          <w:rFonts w:hint="eastAsia" w:ascii="Times New Roman" w:hAnsi="Times New Roman" w:cs="Times New Roman"/>
          <w:lang w:eastAsia="zh-CN"/>
        </w:rPr>
        <w:t>；</w:t>
      </w:r>
      <w:r>
        <w:rPr>
          <w:rFonts w:hint="eastAsia" w:cs="Times New Roman"/>
          <w:lang w:val="en-US" w:eastAsia="zh-CN"/>
        </w:rPr>
        <w:t>三是</w:t>
      </w:r>
      <w:r>
        <w:rPr>
          <w:rFonts w:hint="eastAsia" w:ascii="Times New Roman" w:hAnsi="Times New Roman" w:cs="Times New Roman"/>
          <w:lang w:val="en-US" w:eastAsia="zh-CN"/>
        </w:rPr>
        <w:t>科学技术普及工作大力推进。</w:t>
      </w:r>
      <w:r>
        <w:rPr>
          <w:rFonts w:hint="eastAsia" w:ascii="Times New Roman" w:hAnsi="Times New Roman" w:cs="Times New Roman"/>
        </w:rPr>
        <w:t>牵头承担的全民科学</w:t>
      </w:r>
      <w:r>
        <w:rPr>
          <w:rFonts w:hint="eastAsia"/>
        </w:rPr>
        <w:t>素质建设各项任务全面落实，协作机制更加健全，工作抓手更加有力；科普工作与互联网充分融合，科普信息化建设迈出实质性步伐；科普资源共建共享机制逐步完善，科普形式更加多样</w:t>
      </w:r>
      <w:r>
        <w:rPr>
          <w:rFonts w:hint="eastAsia" w:ascii="Times New Roman" w:hAnsi="Times New Roman" w:cs="Times New Roman"/>
          <w:lang w:val="en-US" w:eastAsia="zh-CN"/>
        </w:rPr>
        <w:t>，科普内容更加贴近公众需求；基础科普设施建设明显加强，基层科普服务水平显著提高。</w:t>
      </w:r>
      <w:r>
        <w:rPr>
          <w:rFonts w:hint="eastAsia" w:cs="Times New Roman"/>
          <w:lang w:val="en-US" w:eastAsia="zh-CN"/>
        </w:rPr>
        <w:t>四是</w:t>
      </w:r>
      <w:r>
        <w:rPr>
          <w:rFonts w:hint="eastAsia" w:ascii="Times New Roman" w:hAnsi="Times New Roman" w:cs="Times New Roman"/>
          <w:lang w:val="en-US" w:eastAsia="zh-CN"/>
        </w:rPr>
        <w:t>服务科技工作者能力明显增强。与科技工作者的联系更加紧密，服务科技工作者的手段和渠道更加丰富和通畅；科技人才表彰激励、培养举荐的机制逐步健全，科技人才服务体系初步建成；组织科技工作者参政议政的机制进一步完善，科技工作者建言献策的途径逐步多元化；科技工作者的诉求渠道更加畅通</w:t>
      </w:r>
      <w:r>
        <w:rPr>
          <w:rFonts w:hint="eastAsia"/>
        </w:rPr>
        <w:t>，维护科技工作者合法权益的力度进一步加大；学术道德建设和科学文化建设不断加强，科技工作者的社会形象更加鲜明。</w:t>
      </w:r>
      <w:r>
        <w:rPr>
          <w:rFonts w:hint="eastAsia"/>
          <w:lang w:val="en-US" w:eastAsia="zh-CN"/>
        </w:rPr>
        <w:t>五是</w:t>
      </w:r>
      <w:r>
        <w:rPr>
          <w:rFonts w:hint="eastAsia"/>
        </w:rPr>
        <w:t>科协自身建设得到全面加强。基层组织网络更加健全，学会改革和基层科协发展取得新的突破；服务平台和活动载体日渐丰富，科协系统的工作抓手更加有力；科协机关党的建设、思想建设、组织建设、作风建设、干部队伍建设全面加强，干部队伍整体素质和能力明显提高</w:t>
      </w:r>
      <w:r>
        <w:rPr>
          <w:rFonts w:hint="eastAsia"/>
          <w:lang w:eastAsia="zh-CN"/>
        </w:rPr>
        <w:t>。</w:t>
      </w:r>
    </w:p>
    <w:p>
      <w:pPr>
        <w:spacing w:line="600" w:lineRule="exact"/>
        <w:ind w:firstLine="640" w:firstLineChars="200"/>
        <w:rPr>
          <w:rFonts w:ascii="仿宋_GB2312"/>
          <w:sz w:val="32"/>
          <w:szCs w:val="32"/>
        </w:rPr>
      </w:pPr>
      <w:r>
        <w:rPr>
          <w:rFonts w:hint="eastAsia" w:ascii="仿宋_GB2312"/>
          <w:sz w:val="32"/>
          <w:szCs w:val="32"/>
        </w:rPr>
        <w:t>2.绩效指标未完成及偏差情况说明</w:t>
      </w:r>
    </w:p>
    <w:p>
      <w:pPr>
        <w:spacing w:line="560" w:lineRule="exact"/>
        <w:ind w:firstLine="640"/>
        <w:rPr>
          <w:rFonts w:ascii="仿宋_GB2312"/>
          <w:sz w:val="32"/>
          <w:szCs w:val="32"/>
          <w:highlight w:val="none"/>
        </w:rPr>
      </w:pPr>
      <w:r>
        <w:rPr>
          <w:rFonts w:hint="eastAsia" w:ascii="仿宋_GB2312" w:hAnsi="仿宋_GB2312" w:cs="仿宋_GB2312"/>
          <w:kern w:val="0"/>
          <w:szCs w:val="32"/>
        </w:rPr>
        <w:t>我</w:t>
      </w:r>
      <w:r>
        <w:rPr>
          <w:rFonts w:hint="eastAsia" w:ascii="仿宋_GB2312" w:hAnsi="仿宋_GB2312" w:cs="仿宋_GB2312"/>
          <w:kern w:val="0"/>
          <w:szCs w:val="32"/>
          <w:lang w:val="en-US" w:eastAsia="zh-CN"/>
        </w:rPr>
        <w:t>单位</w:t>
      </w:r>
      <w:r>
        <w:rPr>
          <w:rFonts w:hint="eastAsia" w:ascii="仿宋_GB2312" w:hAnsi="仿宋_GB2312" w:cs="仿宋_GB2312"/>
          <w:kern w:val="0"/>
          <w:szCs w:val="32"/>
        </w:rPr>
        <w:t>大部分项目完成了年初设定的各项绩效目标，达到了预期效果，充分发挥了资金使用效益，但</w:t>
      </w:r>
      <w:r>
        <w:rPr>
          <w:rFonts w:hint="eastAsia" w:ascii="仿宋_GB2312" w:hAnsi="仿宋_GB2312" w:cs="仿宋_GB2312"/>
          <w:szCs w:val="32"/>
        </w:rPr>
        <w:t>部分项目</w:t>
      </w:r>
      <w:r>
        <w:rPr>
          <w:rFonts w:hint="eastAsia" w:ascii="仿宋_GB2312" w:hAnsi="仿宋_GB2312" w:cs="仿宋_GB2312"/>
          <w:szCs w:val="32"/>
          <w:lang w:val="en-US" w:eastAsia="zh-CN"/>
        </w:rPr>
        <w:t>因现实原因未实施或计划与实际有偏差等，</w:t>
      </w:r>
      <w:r>
        <w:rPr>
          <w:rFonts w:hint="eastAsia" w:ascii="仿宋_GB2312" w:hAnsi="仿宋_GB2312" w:cs="仿宋_GB2312"/>
          <w:szCs w:val="32"/>
        </w:rPr>
        <w:t>影响了项目</w:t>
      </w:r>
      <w:r>
        <w:rPr>
          <w:rFonts w:hint="eastAsia" w:ascii="仿宋_GB2312" w:hAnsi="仿宋_GB2312" w:cs="仿宋_GB2312"/>
          <w:szCs w:val="32"/>
          <w:lang w:val="en-US" w:eastAsia="zh-CN"/>
        </w:rPr>
        <w:t>的最终评价结果</w:t>
      </w:r>
      <w:r>
        <w:rPr>
          <w:rFonts w:hint="eastAsia" w:ascii="仿宋_GB2312" w:hAnsi="仿宋_GB2312" w:cs="仿宋_GB2312"/>
          <w:kern w:val="0"/>
          <w:szCs w:val="32"/>
          <w:lang w:eastAsia="zh-CN"/>
        </w:rPr>
        <w:t>，</w:t>
      </w:r>
      <w:r>
        <w:rPr>
          <w:rFonts w:hint="eastAsia" w:ascii="仿宋_GB2312"/>
          <w:sz w:val="32"/>
          <w:szCs w:val="32"/>
          <w:highlight w:val="none"/>
        </w:rPr>
        <w:t>具体情况如下：</w:t>
      </w:r>
    </w:p>
    <w:p>
      <w:pPr>
        <w:spacing w:line="600" w:lineRule="exact"/>
        <w:ind w:firstLine="640" w:firstLineChars="200"/>
        <w:rPr>
          <w:rFonts w:hint="default" w:ascii="仿宋_GB2312" w:eastAsia="仿宋_GB2312"/>
          <w:sz w:val="32"/>
          <w:szCs w:val="32"/>
          <w:lang w:val="en-US" w:eastAsia="zh-CN"/>
        </w:rPr>
      </w:pPr>
      <w:r>
        <w:rPr>
          <w:rFonts w:hint="eastAsia" w:ascii="仿宋_GB2312"/>
          <w:sz w:val="32"/>
          <w:szCs w:val="32"/>
          <w:lang w:val="en-US" w:eastAsia="zh-CN"/>
        </w:rPr>
        <w:t>1.知识产权事业发展项目</w:t>
      </w:r>
      <w:r>
        <w:rPr>
          <w:rFonts w:hint="eastAsia" w:ascii="Times New Roman" w:hAnsi="Times New Roman" w:cs="Times New Roman"/>
          <w:sz w:val="32"/>
          <w:szCs w:val="32"/>
          <w:lang w:val="en-US" w:eastAsia="zh-CN"/>
        </w:rPr>
        <w:t>12</w:t>
      </w:r>
      <w:r>
        <w:rPr>
          <w:rFonts w:hint="eastAsia" w:ascii="仿宋_GB2312"/>
          <w:sz w:val="32"/>
          <w:szCs w:val="32"/>
          <w:lang w:val="en-US" w:eastAsia="zh-CN"/>
        </w:rPr>
        <w:t>万元</w:t>
      </w:r>
    </w:p>
    <w:p>
      <w:pPr>
        <w:spacing w:line="600" w:lineRule="exact"/>
        <w:ind w:firstLine="640" w:firstLineChars="200"/>
        <w:rPr>
          <w:rFonts w:hint="eastAsia" w:ascii="仿宋_GB2312"/>
          <w:sz w:val="32"/>
          <w:szCs w:val="32"/>
          <w:lang w:val="en-US" w:eastAsia="zh-CN"/>
        </w:rPr>
      </w:pPr>
      <w:r>
        <w:rPr>
          <w:rFonts w:hint="eastAsia" w:ascii="仿宋_GB2312"/>
          <w:sz w:val="32"/>
          <w:szCs w:val="32"/>
          <w:lang w:val="en-US" w:eastAsia="zh-CN"/>
        </w:rPr>
        <w:t>年度绩效目标：编辑出版《河南知识产权年鉴》。</w:t>
      </w:r>
    </w:p>
    <w:p>
      <w:pPr>
        <w:spacing w:line="600" w:lineRule="exact"/>
        <w:ind w:firstLine="640" w:firstLineChars="200"/>
        <w:rPr>
          <w:rFonts w:hint="eastAsia"/>
          <w:lang w:val="en-US" w:eastAsia="zh-CN"/>
        </w:rPr>
      </w:pPr>
      <w:r>
        <w:rPr>
          <w:rFonts w:hint="eastAsia"/>
          <w:lang w:val="en-US" w:eastAsia="zh-CN"/>
        </w:rPr>
        <w:t>受事业单位重塑性改革影响，承担单位撤并，工作未开展，经费上缴省财政。</w:t>
      </w:r>
    </w:p>
    <w:p>
      <w:pPr>
        <w:spacing w:line="600" w:lineRule="exact"/>
        <w:ind w:firstLine="640" w:firstLineChars="200"/>
        <w:rPr>
          <w:rFonts w:hint="default" w:ascii="仿宋_GB2312" w:eastAsia="仿宋_GB2312"/>
          <w:sz w:val="32"/>
          <w:szCs w:val="32"/>
          <w:lang w:val="en-US" w:eastAsia="zh-CN"/>
        </w:rPr>
      </w:pPr>
      <w:r>
        <w:rPr>
          <w:rFonts w:hint="eastAsia" w:ascii="仿宋_GB2312"/>
          <w:sz w:val="32"/>
          <w:szCs w:val="32"/>
          <w:lang w:val="en-US" w:eastAsia="zh-CN"/>
        </w:rPr>
        <w:t>2.河南省科普及学会服务能力提升专项</w:t>
      </w:r>
      <w:r>
        <w:rPr>
          <w:rFonts w:hint="eastAsia" w:ascii="Times New Roman" w:hAnsi="Times New Roman" w:cs="Times New Roman"/>
          <w:sz w:val="32"/>
          <w:szCs w:val="32"/>
          <w:lang w:val="en-US" w:eastAsia="zh-CN"/>
        </w:rPr>
        <w:t>4810</w:t>
      </w:r>
      <w:r>
        <w:rPr>
          <w:rFonts w:hint="eastAsia" w:ascii="仿宋_GB2312"/>
          <w:sz w:val="32"/>
          <w:szCs w:val="32"/>
          <w:lang w:val="en-US" w:eastAsia="zh-CN"/>
        </w:rPr>
        <w:t>万元</w:t>
      </w:r>
    </w:p>
    <w:p>
      <w:pPr>
        <w:spacing w:line="600" w:lineRule="exact"/>
        <w:ind w:firstLine="640" w:firstLineChars="200"/>
        <w:rPr>
          <w:rFonts w:hint="eastAsia" w:ascii="仿宋_GB2312"/>
          <w:sz w:val="32"/>
          <w:szCs w:val="32"/>
          <w:lang w:val="en-US" w:eastAsia="zh-CN"/>
        </w:rPr>
      </w:pPr>
      <w:r>
        <w:rPr>
          <w:rFonts w:hint="eastAsia" w:ascii="仿宋_GB2312"/>
          <w:sz w:val="32"/>
          <w:szCs w:val="32"/>
          <w:lang w:val="en-US" w:eastAsia="zh-CN"/>
        </w:rPr>
        <w:t>年度绩效目标：通过开展“科普中原”品牌打造项目、河南科技智库调研课题、 “i科普”科技志愿服务行动、一流学会建设提升和一流学术平台建设提升计划项目，优势产业科技赋能工程项目、河南省青年人才托举工程、河南省青少年科技比赛以及河南省青少年科技教育精准服务试点等工作，不断推动科技联系工作手段信息化、组织体系网络化、治理方式现代化，进一步加强科协组织开放型、枢纽型、平台型建设，更好地服务科技工作者、服务创新驱动发展战略、服务公民科学素质提高、服务党委和政府科学决策，促进国家创新体系建设，为更好地服务党和国家中心工作奠定坚实基础。</w:t>
      </w:r>
    </w:p>
    <w:p>
      <w:pPr>
        <w:spacing w:line="600" w:lineRule="exact"/>
        <w:ind w:firstLine="640" w:firstLineChars="200"/>
        <w:rPr>
          <w:rFonts w:hint="eastAsia" w:ascii="仿宋_GB2312" w:hAnsi="仿宋_GB2312" w:cs="仿宋_GB2312"/>
          <w:bCs/>
          <w:color w:val="auto"/>
          <w:szCs w:val="32"/>
          <w:lang w:val="en-US" w:eastAsia="zh-CN"/>
        </w:rPr>
      </w:pPr>
      <w:r>
        <w:rPr>
          <w:rFonts w:hint="eastAsia" w:ascii="仿宋_GB2312"/>
          <w:sz w:val="32"/>
          <w:szCs w:val="32"/>
          <w:lang w:val="en-US" w:eastAsia="zh-CN"/>
        </w:rPr>
        <w:t>项目预算</w:t>
      </w:r>
      <w:r>
        <w:rPr>
          <w:rFonts w:hint="eastAsia" w:ascii="Times New Roman" w:hAnsi="Times New Roman" w:cs="Times New Roman"/>
          <w:sz w:val="32"/>
          <w:szCs w:val="32"/>
          <w:lang w:val="en-US" w:eastAsia="zh-CN"/>
        </w:rPr>
        <w:t>4810</w:t>
      </w:r>
      <w:r>
        <w:rPr>
          <w:rFonts w:hint="eastAsia" w:ascii="仿宋_GB2312"/>
          <w:sz w:val="32"/>
          <w:szCs w:val="32"/>
          <w:lang w:val="en-US" w:eastAsia="zh-CN"/>
        </w:rPr>
        <w:t>万元，截至目前支出</w:t>
      </w:r>
      <w:r>
        <w:rPr>
          <w:rFonts w:hint="eastAsia" w:ascii="Times New Roman" w:hAnsi="Times New Roman" w:cs="Times New Roman"/>
          <w:sz w:val="32"/>
          <w:szCs w:val="32"/>
          <w:lang w:val="en-US" w:eastAsia="zh-CN"/>
        </w:rPr>
        <w:t>4190.67</w:t>
      </w:r>
      <w:r>
        <w:rPr>
          <w:rFonts w:hint="eastAsia" w:ascii="仿宋_GB2312"/>
          <w:sz w:val="32"/>
          <w:szCs w:val="32"/>
          <w:lang w:val="en-US" w:eastAsia="zh-CN"/>
        </w:rPr>
        <w:t>万元，整体执行较好。偏差项目一是开展服务创新驱动发展项目，</w:t>
      </w:r>
      <w:r>
        <w:rPr>
          <w:rFonts w:hint="eastAsia" w:ascii="仿宋_GB2312" w:hAnsi="Times New Roman"/>
          <w:sz w:val="32"/>
          <w:szCs w:val="32"/>
          <w:lang w:val="en-US" w:eastAsia="zh-CN"/>
        </w:rPr>
        <w:t>计划完成不少于22项，实际完成16项；二是资助科普出版作品，原计划资助不少于7个，实际资助10个；三是开展科普助力乡村振兴工程项目，原计划完成不少于80项，实际完成78项，主要是根据实际情况实施，</w:t>
      </w:r>
      <w:r>
        <w:rPr>
          <w:rFonts w:hint="eastAsia" w:ascii="仿宋_GB2312"/>
          <w:color w:val="auto"/>
          <w:sz w:val="32"/>
          <w:szCs w:val="32"/>
          <w:lang w:val="en-US" w:eastAsia="zh-CN"/>
        </w:rPr>
        <w:t>与</w:t>
      </w:r>
      <w:r>
        <w:rPr>
          <w:rFonts w:hint="eastAsia" w:ascii="仿宋_GB2312" w:hAnsi="Times New Roman"/>
          <w:color w:val="auto"/>
          <w:sz w:val="32"/>
          <w:szCs w:val="32"/>
          <w:lang w:val="en-US" w:eastAsia="zh-CN"/>
        </w:rPr>
        <w:t>原计划有偏差；这也反映了我单位在制定年度目标时，仍需进一步</w:t>
      </w:r>
      <w:r>
        <w:rPr>
          <w:rFonts w:hint="eastAsia" w:ascii="仿宋_GB2312"/>
          <w:color w:val="auto"/>
          <w:sz w:val="32"/>
          <w:szCs w:val="32"/>
          <w:lang w:val="en-US" w:eastAsia="zh-CN"/>
        </w:rPr>
        <w:t>精准编制，缩小偏差率</w:t>
      </w:r>
      <w:r>
        <w:rPr>
          <w:rFonts w:hint="eastAsia" w:ascii="仿宋_GB2312" w:hAnsi="仿宋_GB2312" w:cs="仿宋_GB2312"/>
          <w:bCs/>
          <w:color w:val="auto"/>
          <w:szCs w:val="32"/>
          <w:lang w:val="en-US" w:eastAsia="zh-CN"/>
        </w:rPr>
        <w:t>。</w:t>
      </w:r>
    </w:p>
    <w:p>
      <w:pPr>
        <w:spacing w:line="600" w:lineRule="exact"/>
        <w:ind w:firstLine="640" w:firstLineChars="200"/>
        <w:rPr>
          <w:rFonts w:hint="default" w:ascii="仿宋_GB2312" w:hAnsi="仿宋_GB2312" w:cs="仿宋_GB2312"/>
          <w:bCs/>
          <w:szCs w:val="32"/>
          <w:lang w:val="en-US" w:eastAsia="zh-CN"/>
        </w:rPr>
      </w:pPr>
      <w:r>
        <w:rPr>
          <w:rFonts w:hint="eastAsia" w:ascii="仿宋_GB2312" w:hAnsi="仿宋_GB2312" w:cs="仿宋_GB2312"/>
          <w:bCs/>
          <w:szCs w:val="32"/>
          <w:lang w:val="en-US" w:eastAsia="zh-CN"/>
        </w:rPr>
        <w:t>3.办公环境整治及设施维护项目100万元</w:t>
      </w:r>
    </w:p>
    <w:p>
      <w:pPr>
        <w:spacing w:line="600" w:lineRule="exact"/>
        <w:ind w:firstLine="640" w:firstLineChars="200"/>
        <w:rPr>
          <w:rFonts w:hint="eastAsia" w:ascii="仿宋_GB2312"/>
          <w:sz w:val="32"/>
          <w:szCs w:val="32"/>
          <w:lang w:val="en-US" w:eastAsia="zh-CN"/>
        </w:rPr>
      </w:pPr>
      <w:r>
        <w:rPr>
          <w:rFonts w:hint="eastAsia" w:ascii="仿宋_GB2312"/>
          <w:sz w:val="32"/>
          <w:szCs w:val="32"/>
          <w:lang w:val="en-US" w:eastAsia="zh-CN"/>
        </w:rPr>
        <w:t>年度绩效目标：根据实际需要，对科协机关、直属单位办公楼进行墙体维修、楼顶漏雨维修改造、暖气管道、电梯等设施维护、电路系统升级改造其他办公环境整治工作，消除安全隐患。</w:t>
      </w:r>
    </w:p>
    <w:p>
      <w:pPr>
        <w:spacing w:line="600" w:lineRule="exact"/>
        <w:ind w:firstLine="640" w:firstLineChars="200"/>
        <w:rPr>
          <w:rFonts w:hint="eastAsia" w:ascii="仿宋_GB2312"/>
          <w:sz w:val="32"/>
          <w:szCs w:val="32"/>
          <w:lang w:val="en-US" w:eastAsia="zh-CN"/>
        </w:rPr>
      </w:pPr>
      <w:r>
        <w:rPr>
          <w:rFonts w:hint="eastAsia" w:ascii="仿宋_GB2312"/>
          <w:sz w:val="32"/>
          <w:szCs w:val="32"/>
          <w:lang w:val="en-US" w:eastAsia="zh-CN"/>
        </w:rPr>
        <w:t>项目预算100万元，实际支出100万元。偏差原因是维修改造设备设施次数，计划实施不少于6次，实际实施17次，主要原因一是我单位部分设施设备老化严重，</w:t>
      </w:r>
      <w:bookmarkStart w:id="6" w:name="_GoBack"/>
      <w:r>
        <w:rPr>
          <w:rFonts w:hint="eastAsia" w:ascii="仿宋_GB2312"/>
          <w:color w:val="auto"/>
          <w:sz w:val="32"/>
          <w:szCs w:val="32"/>
          <w:lang w:val="en-US" w:eastAsia="zh-CN"/>
        </w:rPr>
        <w:t>零星</w:t>
      </w:r>
      <w:bookmarkEnd w:id="6"/>
      <w:r>
        <w:rPr>
          <w:rFonts w:hint="eastAsia" w:ascii="仿宋_GB2312"/>
          <w:sz w:val="32"/>
          <w:szCs w:val="32"/>
          <w:lang w:val="en-US" w:eastAsia="zh-CN"/>
        </w:rPr>
        <w:t>维修次数较以往增加较大；二是年初绩效目标制定不甚合理，未合理预计。下一步我单位将严格落实设施设备运维情况，制定更合理的绩效目标。</w:t>
      </w:r>
    </w:p>
    <w:p>
      <w:pPr>
        <w:spacing w:line="600" w:lineRule="exact"/>
        <w:ind w:firstLine="640" w:firstLineChars="200"/>
        <w:rPr>
          <w:rFonts w:hint="default" w:ascii="仿宋_GB2312" w:eastAsia="仿宋_GB2312"/>
          <w:sz w:val="32"/>
          <w:szCs w:val="32"/>
          <w:lang w:val="en-US" w:eastAsia="zh-CN"/>
        </w:rPr>
      </w:pPr>
      <w:r>
        <w:rPr>
          <w:rFonts w:hint="eastAsia" w:ascii="仿宋_GB2312"/>
          <w:sz w:val="32"/>
          <w:szCs w:val="32"/>
          <w:lang w:val="en-US" w:eastAsia="zh-CN"/>
        </w:rPr>
        <w:t>4.中国工程科技发展战略河南研究院共建项目1000万元</w:t>
      </w:r>
    </w:p>
    <w:p>
      <w:pPr>
        <w:spacing w:line="600" w:lineRule="exact"/>
        <w:ind w:firstLine="640" w:firstLineChars="200"/>
        <w:rPr>
          <w:rFonts w:hint="eastAsia" w:ascii="仿宋_GB2312"/>
          <w:sz w:val="32"/>
          <w:szCs w:val="32"/>
          <w:lang w:val="en-US" w:eastAsia="zh-CN"/>
        </w:rPr>
      </w:pPr>
      <w:r>
        <w:rPr>
          <w:rFonts w:hint="eastAsia" w:ascii="仿宋_GB2312"/>
          <w:sz w:val="32"/>
          <w:szCs w:val="32"/>
          <w:lang w:val="en-US" w:eastAsia="zh-CN"/>
        </w:rPr>
        <w:t>年度绩效目标：以项目研究为纽带，积极开展咨询调研、学术交流、院士行、人才培养等活动，发挥院士在战略咨询、学术研究、人才培养中的作用，促进产学研用深度融合和河南的创新驱动发展。具体支持一定数量的咨询研究项目，并形成论文、专利、或咨询决策建议等项目专题阶段性成果。</w:t>
      </w:r>
    </w:p>
    <w:p>
      <w:pPr>
        <w:spacing w:line="600" w:lineRule="exact"/>
        <w:ind w:firstLine="640" w:firstLineChars="200"/>
        <w:rPr>
          <w:rFonts w:hint="eastAsia" w:ascii="仿宋_GB2312"/>
          <w:sz w:val="32"/>
          <w:szCs w:val="32"/>
          <w:lang w:val="en-US" w:eastAsia="zh-CN"/>
        </w:rPr>
      </w:pPr>
      <w:r>
        <w:rPr>
          <w:rFonts w:hint="eastAsia" w:ascii="仿宋_GB2312"/>
          <w:sz w:val="32"/>
          <w:szCs w:val="32"/>
          <w:lang w:val="en-US" w:eastAsia="zh-CN"/>
        </w:rPr>
        <w:t>项目预算金额1000万元，实际执行803.43万元。主要偏差项目：一是扶持重大、重点或专题资讯研究项目，计划完成不少于10项，实际完成7项，二是报送咨询研究报告或院士建议，计划完成10项，实际完成7项，主要原因是项目期限至2024年2月底，尚有3个项目未完成结题。下一步我单位将督促项目组加快进度，尽快结项。</w:t>
      </w:r>
    </w:p>
    <w:p>
      <w:pPr>
        <w:spacing w:line="600" w:lineRule="exact"/>
        <w:ind w:firstLine="640" w:firstLineChars="200"/>
        <w:rPr>
          <w:rFonts w:hint="default" w:ascii="仿宋_GB2312" w:eastAsia="仿宋_GB2312"/>
          <w:sz w:val="32"/>
          <w:szCs w:val="32"/>
          <w:lang w:val="en-US" w:eastAsia="zh-CN"/>
        </w:rPr>
      </w:pPr>
      <w:r>
        <w:rPr>
          <w:rFonts w:hint="eastAsia" w:ascii="仿宋_GB2312"/>
          <w:sz w:val="32"/>
          <w:szCs w:val="32"/>
          <w:lang w:val="en-US" w:eastAsia="zh-CN"/>
        </w:rPr>
        <w:t>5.河南省科技馆新馆运维保障经费1000万元</w:t>
      </w:r>
    </w:p>
    <w:p>
      <w:pPr>
        <w:spacing w:line="600" w:lineRule="exact"/>
        <w:ind w:firstLine="640" w:firstLineChars="200"/>
        <w:rPr>
          <w:rFonts w:hint="eastAsia" w:ascii="仿宋_GB2312"/>
          <w:sz w:val="32"/>
          <w:szCs w:val="32"/>
          <w:lang w:val="en-US" w:eastAsia="zh-CN"/>
        </w:rPr>
      </w:pPr>
      <w:r>
        <w:rPr>
          <w:rFonts w:hint="eastAsia" w:ascii="仿宋_GB2312"/>
          <w:sz w:val="32"/>
          <w:szCs w:val="32"/>
          <w:lang w:val="en-US" w:eastAsia="zh-CN"/>
        </w:rPr>
        <w:t>年度绩效目标：为省科技馆新馆2023年运行维护工作提供保障，取得较好成效。</w:t>
      </w:r>
    </w:p>
    <w:p>
      <w:pPr>
        <w:spacing w:line="600" w:lineRule="exact"/>
        <w:ind w:firstLine="640" w:firstLineChars="200"/>
        <w:rPr>
          <w:rFonts w:hint="eastAsia" w:ascii="仿宋_GB2312"/>
          <w:sz w:val="32"/>
          <w:szCs w:val="32"/>
          <w:lang w:val="en-US" w:eastAsia="zh-CN"/>
        </w:rPr>
      </w:pPr>
      <w:r>
        <w:rPr>
          <w:rFonts w:hint="eastAsia" w:ascii="仿宋_GB2312"/>
          <w:sz w:val="32"/>
          <w:szCs w:val="32"/>
          <w:lang w:val="en-US" w:eastAsia="zh-CN"/>
        </w:rPr>
        <w:t>项目预算金额1000万元，实际执行999.43万元，预算执行率99.94%。主要偏差是展教活动参与人数与参观人数的完成方面，实际完成远超预计人次，主要原因是科技馆新馆第一年试运行，没有以往数据做支撑，原先拟定指标较为保守。下一步我单位将结合去年数据，充分评估市民热情，合理制定目标值。</w:t>
      </w:r>
    </w:p>
    <w:p>
      <w:pPr>
        <w:spacing w:line="600" w:lineRule="exact"/>
        <w:ind w:firstLine="640" w:firstLineChars="200"/>
        <w:rPr>
          <w:rFonts w:ascii="仿宋_GB2312"/>
          <w:sz w:val="32"/>
          <w:szCs w:val="32"/>
        </w:rPr>
      </w:pPr>
      <w:r>
        <w:rPr>
          <w:rFonts w:hint="eastAsia" w:ascii="仿宋_GB2312"/>
          <w:sz w:val="32"/>
          <w:szCs w:val="32"/>
        </w:rPr>
        <w:t>通过对</w:t>
      </w:r>
      <w:r>
        <w:rPr>
          <w:rFonts w:hint="eastAsia" w:ascii="仿宋_GB2312"/>
          <w:sz w:val="32"/>
          <w:szCs w:val="32"/>
          <w:lang w:val="en-US" w:eastAsia="zh-CN"/>
        </w:rPr>
        <w:t>项目</w:t>
      </w:r>
      <w:r>
        <w:rPr>
          <w:rFonts w:hint="eastAsia" w:ascii="仿宋_GB2312"/>
          <w:sz w:val="32"/>
          <w:szCs w:val="32"/>
        </w:rPr>
        <w:t>绩效指标未完成情况和差异情况的分析，</w:t>
      </w:r>
      <w:r>
        <w:rPr>
          <w:rFonts w:hint="eastAsia" w:ascii="仿宋_GB2312"/>
          <w:sz w:val="32"/>
          <w:szCs w:val="32"/>
          <w:lang w:eastAsia="zh-CN"/>
        </w:rPr>
        <w:t>我单位</w:t>
      </w:r>
      <w:r>
        <w:rPr>
          <w:rFonts w:hint="eastAsia" w:ascii="仿宋_GB2312"/>
          <w:sz w:val="32"/>
          <w:szCs w:val="32"/>
        </w:rPr>
        <w:t>将进一步加强绩效指标设置的科学性和合理性，在充分考虑业务实际开展情况的同时，合理预判项目预期开展成效，提高绩效指标设置的精准度，进一步规范绩效目标管理，为开展绩效评价打下良好的基础。</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四、自评发现的问题及整改措施</w:t>
      </w:r>
    </w:p>
    <w:p>
      <w:pPr>
        <w:bidi w:val="0"/>
      </w:pPr>
      <w:r>
        <w:rPr>
          <w:rFonts w:hint="eastAsia" w:ascii="仿宋_GB2312"/>
          <w:sz w:val="32"/>
          <w:szCs w:val="32"/>
        </w:rPr>
        <w:t>通过开展本次绩效自评，反映出各项目单位在项目实施过程中，能够不断加强对项目资金的使用和管理，严格按照科协“四服务”职责定位确定资金的支持方向，有力支撑了</w:t>
      </w:r>
      <w:r>
        <w:rPr>
          <w:rFonts w:hint="eastAsia" w:ascii="仿宋_GB2312"/>
          <w:sz w:val="32"/>
          <w:szCs w:val="32"/>
          <w:lang w:eastAsia="zh-CN"/>
        </w:rPr>
        <w:t>我单位</w:t>
      </w:r>
      <w:r>
        <w:rPr>
          <w:rFonts w:hint="eastAsia" w:ascii="仿宋_GB2312"/>
          <w:sz w:val="32"/>
          <w:szCs w:val="32"/>
        </w:rPr>
        <w:t>顺利完成省委省政府安排部署的各项工作任务，提升了科协系统履职尽责的能力。但也存在一定的不足，</w:t>
      </w:r>
      <w:bookmarkStart w:id="5" w:name="_Hlk101005290"/>
      <w:r>
        <w:rPr>
          <w:rFonts w:hint="eastAsia" w:ascii="仿宋_GB2312"/>
          <w:sz w:val="32"/>
          <w:szCs w:val="32"/>
        </w:rPr>
        <w:t>具体表现在：</w:t>
      </w:r>
      <w:r>
        <w:rPr>
          <w:rFonts w:hint="eastAsia"/>
        </w:rPr>
        <w:t>一是</w:t>
      </w:r>
      <w:r>
        <w:rPr>
          <w:rFonts w:hint="eastAsia"/>
          <w:lang w:val="en-US" w:eastAsia="zh-CN"/>
        </w:rPr>
        <w:t>预算资金执行率</w:t>
      </w:r>
      <w:r>
        <w:rPr>
          <w:rFonts w:hint="eastAsia"/>
        </w:rPr>
        <w:t>有待</w:t>
      </w:r>
      <w:r>
        <w:rPr>
          <w:rFonts w:hint="eastAsia"/>
          <w:lang w:val="en-US" w:eastAsia="zh-CN"/>
        </w:rPr>
        <w:t>进一步</w:t>
      </w:r>
      <w:r>
        <w:rPr>
          <w:rFonts w:hint="eastAsia"/>
        </w:rPr>
        <w:t>提升</w:t>
      </w:r>
      <w:r>
        <w:rPr>
          <w:rFonts w:hint="eastAsia"/>
          <w:lang w:eastAsia="zh-CN"/>
        </w:rPr>
        <w:t>。</w:t>
      </w:r>
      <w:r>
        <w:rPr>
          <w:rFonts w:hint="eastAsia"/>
          <w:lang w:val="en-US" w:eastAsia="zh-CN"/>
        </w:rPr>
        <w:t>项目整体预算执行率较上年略有下降，主要是</w:t>
      </w:r>
      <w:r>
        <w:rPr>
          <w:rFonts w:hint="eastAsia"/>
        </w:rPr>
        <w:t>科普及学会服务能力提升专项</w:t>
      </w:r>
      <w:r>
        <w:rPr>
          <w:rFonts w:hint="eastAsia"/>
          <w:lang w:val="en-US" w:eastAsia="zh-CN"/>
        </w:rPr>
        <w:t>省级部分资金支出不及预期。二</w:t>
      </w:r>
      <w:r>
        <w:rPr>
          <w:rFonts w:hint="eastAsia" w:ascii="仿宋_GB2312"/>
          <w:sz w:val="32"/>
          <w:szCs w:val="32"/>
        </w:rPr>
        <w:t>是项目资金效益有待提升。</w:t>
      </w:r>
      <w:r>
        <w:rPr>
          <w:rFonts w:hint="eastAsia"/>
        </w:rPr>
        <w:t>主要体现在202</w:t>
      </w:r>
      <w:r>
        <w:rPr>
          <w:rFonts w:hint="eastAsia"/>
          <w:lang w:val="en-US" w:eastAsia="zh-CN"/>
        </w:rPr>
        <w:t>3</w:t>
      </w:r>
      <w:r>
        <w:rPr>
          <w:rFonts w:hint="eastAsia"/>
        </w:rPr>
        <w:t>年度</w:t>
      </w:r>
      <w:r>
        <w:rPr>
          <w:rFonts w:hint="eastAsia"/>
          <w:lang w:eastAsia="zh-CN"/>
        </w:rPr>
        <w:t>我单位</w:t>
      </w:r>
      <w:r>
        <w:rPr>
          <w:rFonts w:hint="eastAsia"/>
        </w:rPr>
        <w:t>专项资金项目多，资金较分散，比如科普及学会服务能力提升专项，资金总额4</w:t>
      </w:r>
      <w:r>
        <w:t>810</w:t>
      </w:r>
      <w:r>
        <w:rPr>
          <w:rFonts w:hint="eastAsia"/>
        </w:rPr>
        <w:t>万元，涉及</w:t>
      </w:r>
      <w:r>
        <w:rPr>
          <w:rFonts w:hint="eastAsia"/>
          <w:lang w:val="en-US" w:eastAsia="zh-CN"/>
        </w:rPr>
        <w:t>479</w:t>
      </w:r>
      <w:r>
        <w:rPr>
          <w:rFonts w:hint="eastAsia"/>
        </w:rPr>
        <w:t>个子项，单个项目资金占比</w:t>
      </w:r>
      <w:r>
        <w:rPr>
          <w:rFonts w:hint="eastAsia"/>
          <w:lang w:val="en-US" w:eastAsia="zh-CN"/>
        </w:rPr>
        <w:t>较</w:t>
      </w:r>
      <w:r>
        <w:rPr>
          <w:rFonts w:hint="eastAsia"/>
        </w:rPr>
        <w:t>小，不利于</w:t>
      </w:r>
      <w:r>
        <w:rPr>
          <w:rFonts w:hint="eastAsia"/>
          <w:lang w:val="en-US" w:eastAsia="zh-CN"/>
        </w:rPr>
        <w:t>充分</w:t>
      </w:r>
      <w:r>
        <w:rPr>
          <w:rFonts w:hint="eastAsia"/>
        </w:rPr>
        <w:t>发挥财政资金的使用效益。</w:t>
      </w:r>
      <w:r>
        <w:rPr>
          <w:rFonts w:hint="eastAsia"/>
          <w:lang w:val="en-US" w:eastAsia="zh-CN"/>
        </w:rPr>
        <w:t>三</w:t>
      </w:r>
      <w:r>
        <w:rPr>
          <w:rFonts w:hint="eastAsia"/>
        </w:rPr>
        <w:t>是项目年度绩效指标设置有待进一步优化和明确。</w:t>
      </w:r>
      <w:r>
        <w:rPr>
          <w:rFonts w:hint="eastAsia"/>
          <w:lang w:val="en-US" w:eastAsia="zh-CN"/>
        </w:rPr>
        <w:t>存在</w:t>
      </w:r>
      <w:r>
        <w:rPr>
          <w:rFonts w:hint="eastAsia"/>
        </w:rPr>
        <w:t>部分指标设置有待进一步细化量化</w:t>
      </w:r>
      <w:r>
        <w:rPr>
          <w:rFonts w:hint="eastAsia"/>
          <w:lang w:val="en-US" w:eastAsia="zh-CN"/>
        </w:rPr>
        <w:t>以及</w:t>
      </w:r>
      <w:r>
        <w:rPr>
          <w:rFonts w:hint="eastAsia" w:ascii="仿宋_GB2312" w:hAnsi="仿宋_GB2312" w:cs="仿宋_GB2312"/>
          <w:szCs w:val="32"/>
        </w:rPr>
        <w:t>个别三级指标二级指标不对应</w:t>
      </w:r>
      <w:r>
        <w:rPr>
          <w:rFonts w:hint="eastAsia" w:ascii="仿宋_GB2312" w:hAnsi="仿宋_GB2312" w:cs="仿宋_GB2312"/>
          <w:szCs w:val="32"/>
          <w:lang w:val="en-US" w:eastAsia="zh-CN"/>
        </w:rPr>
        <w:t>的问题</w:t>
      </w:r>
      <w:r>
        <w:rPr>
          <w:rFonts w:hint="eastAsia" w:ascii="仿宋_GB2312" w:hAnsi="仿宋_GB2312" w:cs="仿宋_GB2312"/>
          <w:szCs w:val="32"/>
          <w:lang w:eastAsia="zh-CN"/>
        </w:rPr>
        <w:t>，</w:t>
      </w:r>
      <w:r>
        <w:rPr>
          <w:rFonts w:hint="eastAsia" w:ascii="仿宋_GB2312" w:hAnsi="仿宋_GB2312" w:cs="仿宋_GB2312"/>
          <w:szCs w:val="32"/>
          <w:lang w:val="en-US" w:eastAsia="zh-CN"/>
        </w:rPr>
        <w:t>未充分</w:t>
      </w:r>
      <w:r>
        <w:rPr>
          <w:rFonts w:hint="eastAsia"/>
        </w:rPr>
        <w:t>发挥绩效管理的引领和约束作用。针对目前存在的问题，我们提出以下三点改进措施：</w:t>
      </w:r>
    </w:p>
    <w:p>
      <w:pPr>
        <w:numPr>
          <w:ilvl w:val="0"/>
          <w:numId w:val="0"/>
        </w:numPr>
        <w:bidi w:val="0"/>
        <w:ind w:firstLine="640" w:firstLineChars="200"/>
        <w:rPr>
          <w:rFonts w:hint="default" w:ascii="Times New Roman" w:hAnsi="Times New Roman" w:cs="Times New Roman"/>
          <w:lang w:val="en-US" w:eastAsia="zh-CN"/>
        </w:rPr>
      </w:pPr>
      <w:r>
        <w:rPr>
          <w:rFonts w:hint="eastAsia" w:ascii="Times New Roman" w:hAnsi="Times New Roman" w:eastAsia="仿宋_GB2312" w:cs="Times New Roman"/>
          <w:kern w:val="2"/>
          <w:sz w:val="32"/>
          <w:szCs w:val="24"/>
          <w:lang w:val="en-US" w:eastAsia="zh-CN" w:bidi="ar-SA"/>
        </w:rPr>
        <w:t>1.</w:t>
      </w:r>
      <w:r>
        <w:rPr>
          <w:rFonts w:hint="eastAsia"/>
          <w:lang w:val="en-US" w:eastAsia="zh-CN"/>
        </w:rPr>
        <w:t>强化项目过程管理，加大资金执行监督力度。首先，</w:t>
      </w:r>
      <w:r>
        <w:rPr>
          <w:rFonts w:hint="eastAsia" w:ascii="Times New Roman" w:hAnsi="Times New Roman" w:cs="Times New Roman"/>
        </w:rPr>
        <w:t>对重点项目的实施过程重点跟进，对项目实施进度实时把控，</w:t>
      </w:r>
      <w:r>
        <w:rPr>
          <w:rFonts w:hint="eastAsia" w:ascii="Times New Roman" w:hAnsi="Times New Roman" w:cs="Times New Roman"/>
          <w:lang w:val="en-US" w:eastAsia="zh-CN"/>
        </w:rPr>
        <w:t>对于资金的支付进度及时跟进。其次，对于项目进度滞后或资金执行滞后的问题，及时跟进督促，确保资金执行合规；对于需要调整的支出，按照程序及时调整。</w:t>
      </w:r>
    </w:p>
    <w:p>
      <w:pPr>
        <w:numPr>
          <w:ilvl w:val="0"/>
          <w:numId w:val="0"/>
        </w:numPr>
        <w:bidi w:val="0"/>
        <w:ind w:firstLine="640" w:firstLineChars="200"/>
      </w:pPr>
      <w:r>
        <w:rPr>
          <w:rFonts w:ascii="Times New Roman" w:hAnsi="Times New Roman" w:eastAsia="仿宋_GB2312"/>
          <w:kern w:val="2"/>
          <w:sz w:val="32"/>
          <w:szCs w:val="24"/>
          <w:lang w:val="en-US" w:eastAsia="zh-CN" w:bidi="ar-SA"/>
        </w:rPr>
        <w:t>2.</w:t>
      </w:r>
      <w:r>
        <w:rPr>
          <w:rFonts w:hint="eastAsia"/>
        </w:rPr>
        <w:t>不断加大专项资金统筹整合力度。下一步要在全面考虑科普工作的经常性、社会性、普惠性特征的同时，进一步加大专项资金统筹整合力度，对现有专项资金进行清理整合，整合目标相似、资金管理方式相近的项目，压缩项目数量，增强资金支出针对性，以更好发挥财政资金的使用效益。</w:t>
      </w:r>
    </w:p>
    <w:p>
      <w:pPr>
        <w:bidi w:val="0"/>
        <w:rPr>
          <w:rFonts w:ascii="仿宋_GB2312"/>
          <w:sz w:val="32"/>
          <w:szCs w:val="32"/>
        </w:rPr>
      </w:pPr>
      <w:r>
        <w:rPr>
          <w:rFonts w:hint="eastAsia"/>
          <w:lang w:val="en-US" w:eastAsia="zh-CN"/>
        </w:rPr>
        <w:t>3</w:t>
      </w:r>
      <w:r>
        <w:rPr>
          <w:rFonts w:hint="eastAsia"/>
        </w:rPr>
        <w:t>.加强预算绩效管理的培训与学习。下一步</w:t>
      </w:r>
      <w:r>
        <w:rPr>
          <w:rFonts w:hint="eastAsia"/>
          <w:lang w:eastAsia="zh-CN"/>
        </w:rPr>
        <w:t>我单位</w:t>
      </w:r>
      <w:r>
        <w:rPr>
          <w:rFonts w:hint="eastAsia"/>
        </w:rPr>
        <w:t>将把绩效评价作为一种动态监控手段，强化项目全生命周期管理，把可实现的绩效目标作为安排专项经费的必要前置条件。通过在预算管理方面的培训与学习，进一步强化绩效目标设置的科学性和合理性，避免出现绩效目标设定不明确、不合理、细化量化程度不够等问题，力求绩效目标贴近实际、科学合理，使其兼具全面性、系统性和可操作性，进一步提高项目管理效率和项目实施质量，保障项目设置预期绩效目标顺利实现。</w:t>
      </w:r>
    </w:p>
    <w:bookmarkEnd w:id="5"/>
    <w:p>
      <w:pPr>
        <w:spacing w:line="600" w:lineRule="exact"/>
        <w:ind w:firstLine="640" w:firstLineChars="200"/>
        <w:rPr>
          <w:rFonts w:ascii="黑体" w:hAnsi="黑体" w:eastAsia="黑体"/>
          <w:sz w:val="32"/>
          <w:szCs w:val="32"/>
        </w:rPr>
      </w:pPr>
      <w:r>
        <w:rPr>
          <w:rFonts w:hint="eastAsia" w:ascii="黑体" w:hAnsi="黑体" w:eastAsia="黑体"/>
          <w:sz w:val="32"/>
          <w:szCs w:val="32"/>
        </w:rPr>
        <w:t>五、绩效自评工作建议及预算安排建议</w:t>
      </w:r>
    </w:p>
    <w:p>
      <w:pPr>
        <w:pStyle w:val="7"/>
        <w:shd w:val="clear" w:color="auto" w:fill="FFFFFF"/>
        <w:spacing w:before="0" w:beforeAutospacing="0" w:after="0" w:afterAutospacing="0" w:line="560" w:lineRule="exact"/>
        <w:ind w:firstLine="640"/>
        <w:jc w:val="both"/>
        <w:rPr>
          <w:rFonts w:hint="eastAsia" w:ascii="仿宋_GB2312"/>
          <w:sz w:val="32"/>
          <w:szCs w:val="32"/>
        </w:rPr>
      </w:pPr>
      <w:r>
        <w:rPr>
          <w:rFonts w:hint="eastAsia" w:ascii="仿宋_GB2312"/>
          <w:sz w:val="32"/>
          <w:szCs w:val="32"/>
        </w:rPr>
        <w:t>本次绩效评价，</w:t>
      </w:r>
      <w:r>
        <w:rPr>
          <w:rFonts w:hint="eastAsia" w:ascii="仿宋_GB2312"/>
          <w:sz w:val="32"/>
          <w:szCs w:val="32"/>
          <w:lang w:eastAsia="zh-CN"/>
        </w:rPr>
        <w:t>我单位</w:t>
      </w:r>
      <w:r>
        <w:rPr>
          <w:rFonts w:hint="eastAsia" w:ascii="仿宋_GB2312"/>
          <w:sz w:val="32"/>
          <w:szCs w:val="32"/>
        </w:rPr>
        <w:t>预算管理制度健全，收入和支出预算编制规范，各处室及下属单位预算决策权责清晰明确，</w:t>
      </w:r>
      <w:r>
        <w:rPr>
          <w:rFonts w:hint="eastAsia" w:ascii="仿宋_GB2312"/>
          <w:sz w:val="32"/>
          <w:szCs w:val="32"/>
          <w:lang w:val="en-US" w:eastAsia="zh-CN"/>
        </w:rPr>
        <w:t>以推动落实省科协“</w:t>
      </w:r>
      <w:r>
        <w:rPr>
          <w:rFonts w:hint="default" w:ascii="Times New Roman" w:hAnsi="Times New Roman" w:cs="Times New Roman"/>
          <w:sz w:val="32"/>
          <w:szCs w:val="32"/>
          <w:lang w:val="en-US" w:eastAsia="zh-CN"/>
        </w:rPr>
        <w:t>5610</w:t>
      </w:r>
      <w:r>
        <w:rPr>
          <w:rFonts w:hint="eastAsia" w:ascii="仿宋_GB2312"/>
          <w:sz w:val="32"/>
          <w:szCs w:val="32"/>
          <w:lang w:val="en-US" w:eastAsia="zh-CN"/>
        </w:rPr>
        <w:t>”总体安排为统领，</w:t>
      </w:r>
      <w:r>
        <w:rPr>
          <w:rFonts w:hint="eastAsia" w:ascii="仿宋_GB2312"/>
          <w:sz w:val="32"/>
          <w:szCs w:val="32"/>
        </w:rPr>
        <w:t>围绕“四服务”职责定位，积极发挥发挥财政资金示范带动作用。为进一步推动绩效工作开展效果</w:t>
      </w:r>
      <w:r>
        <w:rPr>
          <w:rFonts w:hint="eastAsia" w:ascii="仿宋_GB2312"/>
          <w:sz w:val="32"/>
          <w:szCs w:val="32"/>
          <w:lang w:eastAsia="zh-CN"/>
        </w:rPr>
        <w:t>，</w:t>
      </w:r>
      <w:r>
        <w:rPr>
          <w:rFonts w:hint="eastAsia" w:ascii="仿宋_GB2312"/>
          <w:sz w:val="32"/>
          <w:szCs w:val="32"/>
          <w:lang w:val="en-US" w:eastAsia="zh-CN"/>
        </w:rPr>
        <w:t>我单位建议</w:t>
      </w:r>
      <w:r>
        <w:rPr>
          <w:rFonts w:hint="eastAsia" w:ascii="仿宋_GB2312"/>
          <w:sz w:val="32"/>
          <w:szCs w:val="32"/>
        </w:rPr>
        <w:t>：一是</w:t>
      </w:r>
      <w:r>
        <w:rPr>
          <w:rFonts w:hint="eastAsia" w:ascii="仿宋_GB2312"/>
          <w:sz w:val="32"/>
          <w:szCs w:val="32"/>
          <w:lang w:val="en-US" w:eastAsia="zh-CN"/>
        </w:rPr>
        <w:t>进</w:t>
      </w:r>
      <w:r>
        <w:rPr>
          <w:rFonts w:hint="eastAsia" w:ascii="仿宋_GB2312" w:hAnsi="仿宋_GB2312" w:cs="仿宋_GB2312"/>
          <w:sz w:val="32"/>
          <w:szCs w:val="32"/>
        </w:rPr>
        <w:t>一步加强</w:t>
      </w:r>
      <w:r>
        <w:rPr>
          <w:rFonts w:hint="eastAsia" w:ascii="仿宋_GB2312" w:hAnsi="仿宋_GB2312" w:cs="仿宋_GB2312"/>
          <w:sz w:val="32"/>
          <w:szCs w:val="32"/>
          <w:lang w:val="en-US" w:eastAsia="zh-CN"/>
        </w:rPr>
        <w:t>预算管理与</w:t>
      </w:r>
      <w:r>
        <w:rPr>
          <w:rFonts w:hint="eastAsia" w:ascii="仿宋_GB2312" w:hAnsi="仿宋_GB2312" w:cs="仿宋_GB2312"/>
          <w:sz w:val="32"/>
          <w:szCs w:val="32"/>
        </w:rPr>
        <w:t>绩效评价</w:t>
      </w:r>
      <w:r>
        <w:rPr>
          <w:rFonts w:hint="eastAsia" w:ascii="仿宋_GB2312" w:hAnsi="仿宋_GB2312" w:cs="仿宋_GB2312"/>
          <w:sz w:val="32"/>
          <w:szCs w:val="32"/>
          <w:lang w:val="en-US" w:eastAsia="zh-CN"/>
        </w:rPr>
        <w:t>相关的</w:t>
      </w:r>
      <w:r>
        <w:rPr>
          <w:rFonts w:hint="eastAsia" w:ascii="仿宋_GB2312" w:hAnsi="仿宋_GB2312" w:cs="仿宋_GB2312"/>
          <w:sz w:val="32"/>
          <w:szCs w:val="32"/>
        </w:rPr>
        <w:t>培训。</w:t>
      </w:r>
      <w:r>
        <w:rPr>
          <w:rFonts w:hint="eastAsia" w:ascii="仿宋_GB2312" w:hAnsi="仿宋_GB2312" w:cs="仿宋_GB2312"/>
          <w:sz w:val="32"/>
          <w:szCs w:val="32"/>
          <w:lang w:val="en-US" w:eastAsia="zh-CN"/>
        </w:rPr>
        <w:t>可以通过</w:t>
      </w:r>
      <w:r>
        <w:rPr>
          <w:rFonts w:hint="eastAsia" w:ascii="仿宋_GB2312" w:hAnsi="仿宋_GB2312" w:cs="仿宋_GB2312"/>
          <w:sz w:val="32"/>
          <w:szCs w:val="32"/>
        </w:rPr>
        <w:t>采取</w:t>
      </w:r>
      <w:r>
        <w:rPr>
          <w:rFonts w:hint="eastAsia" w:ascii="仿宋_GB2312" w:hAnsi="仿宋_GB2312" w:cs="仿宋_GB2312"/>
          <w:sz w:val="32"/>
          <w:szCs w:val="32"/>
          <w:lang w:val="en-US" w:eastAsia="zh-CN"/>
        </w:rPr>
        <w:t>线下</w:t>
      </w:r>
      <w:r>
        <w:rPr>
          <w:rFonts w:hint="eastAsia" w:ascii="仿宋_GB2312" w:hAnsi="仿宋_GB2312" w:cs="仿宋_GB2312"/>
          <w:sz w:val="32"/>
          <w:szCs w:val="32"/>
        </w:rPr>
        <w:t>集中培训、视频课件线上培训、编发政策汇编及精选案列等方式，加大对</w:t>
      </w:r>
      <w:r>
        <w:rPr>
          <w:rFonts w:hint="eastAsia" w:ascii="仿宋_GB2312" w:hAnsi="仿宋_GB2312" w:cs="仿宋_GB2312"/>
          <w:sz w:val="32"/>
          <w:szCs w:val="32"/>
          <w:lang w:val="en-US" w:eastAsia="zh-CN"/>
        </w:rPr>
        <w:t>预算</w:t>
      </w:r>
      <w:r>
        <w:rPr>
          <w:rFonts w:hint="eastAsia" w:ascii="仿宋_GB2312" w:hAnsi="仿宋_GB2312" w:cs="仿宋_GB2312"/>
          <w:sz w:val="32"/>
          <w:szCs w:val="32"/>
        </w:rPr>
        <w:t>管理和</w:t>
      </w:r>
      <w:r>
        <w:rPr>
          <w:rFonts w:hint="eastAsia" w:ascii="仿宋_GB2312" w:hAnsi="仿宋_GB2312" w:cs="仿宋_GB2312"/>
          <w:sz w:val="32"/>
          <w:szCs w:val="32"/>
          <w:lang w:val="en-US" w:eastAsia="zh-CN"/>
        </w:rPr>
        <w:t>绩效</w:t>
      </w:r>
      <w:r>
        <w:rPr>
          <w:rFonts w:hint="eastAsia" w:ascii="仿宋_GB2312" w:hAnsi="仿宋_GB2312" w:cs="仿宋_GB2312"/>
          <w:sz w:val="32"/>
          <w:szCs w:val="32"/>
        </w:rPr>
        <w:t>评价相关</w:t>
      </w:r>
      <w:r>
        <w:rPr>
          <w:rFonts w:hint="eastAsia" w:ascii="仿宋_GB2312" w:hAnsi="仿宋_GB2312" w:cs="仿宋_GB2312"/>
          <w:sz w:val="32"/>
          <w:szCs w:val="32"/>
          <w:lang w:val="en-US" w:eastAsia="zh-CN"/>
        </w:rPr>
        <w:t>知识的输出</w:t>
      </w:r>
      <w:r>
        <w:rPr>
          <w:rFonts w:hint="eastAsia" w:ascii="仿宋_GB2312" w:hAnsi="仿宋_GB2312" w:cs="仿宋_GB2312"/>
          <w:sz w:val="32"/>
          <w:szCs w:val="32"/>
        </w:rPr>
        <w:t>力度，不断提高</w:t>
      </w:r>
      <w:r>
        <w:rPr>
          <w:rFonts w:hint="eastAsia" w:ascii="仿宋_GB2312" w:hAnsi="仿宋_GB2312" w:cs="仿宋_GB2312"/>
          <w:sz w:val="32"/>
          <w:szCs w:val="32"/>
          <w:lang w:val="en-US" w:eastAsia="zh-CN"/>
        </w:rPr>
        <w:t>预算</w:t>
      </w:r>
      <w:r>
        <w:rPr>
          <w:rFonts w:hint="eastAsia" w:ascii="仿宋_GB2312" w:hAnsi="仿宋_GB2312" w:cs="仿宋_GB2312"/>
          <w:sz w:val="32"/>
          <w:szCs w:val="32"/>
        </w:rPr>
        <w:t>管理和评价</w:t>
      </w:r>
      <w:r>
        <w:rPr>
          <w:rFonts w:hint="eastAsia" w:ascii="仿宋_GB2312" w:hAnsi="仿宋_GB2312" w:cs="仿宋_GB2312"/>
          <w:sz w:val="32"/>
          <w:szCs w:val="32"/>
          <w:lang w:val="en-US" w:eastAsia="zh-CN"/>
        </w:rPr>
        <w:t>相关</w:t>
      </w:r>
      <w:r>
        <w:rPr>
          <w:rFonts w:hint="eastAsia" w:ascii="仿宋_GB2312" w:hAnsi="仿宋_GB2312" w:cs="仿宋_GB2312"/>
          <w:sz w:val="32"/>
          <w:szCs w:val="32"/>
        </w:rPr>
        <w:t>人员的政策水平和业务能力</w:t>
      </w:r>
      <w:r>
        <w:rPr>
          <w:rFonts w:hint="eastAsia" w:ascii="仿宋_GB2312" w:hAnsi="仿宋_GB2312" w:cs="仿宋_GB2312"/>
          <w:sz w:val="32"/>
          <w:szCs w:val="32"/>
          <w:lang w:eastAsia="zh-CN"/>
        </w:rPr>
        <w:t>；</w:t>
      </w:r>
      <w:r>
        <w:rPr>
          <w:rFonts w:hint="eastAsia" w:ascii="仿宋_GB2312"/>
          <w:sz w:val="32"/>
          <w:szCs w:val="32"/>
        </w:rPr>
        <w:t>二是建议加大对</w:t>
      </w:r>
      <w:r>
        <w:rPr>
          <w:rFonts w:hint="eastAsia" w:ascii="仿宋_GB2312"/>
          <w:sz w:val="32"/>
          <w:szCs w:val="32"/>
          <w:lang w:val="en-US" w:eastAsia="zh-CN"/>
        </w:rPr>
        <w:t>部门评价与</w:t>
      </w:r>
      <w:r>
        <w:rPr>
          <w:rFonts w:hint="eastAsia" w:ascii="仿宋_GB2312"/>
          <w:sz w:val="32"/>
          <w:szCs w:val="32"/>
        </w:rPr>
        <w:t>绩效自评工作的方式方法的指导、培训，梳理下发切实可行的指导手册。拨付专门资金支持部门开展绩效自评工作。在预算安排方面建议增加专项资金支持力度，让科普工作惠及更广大地区，覆盖更多缺少现代科普资源的农村地区青少年及欠发达地区人员，助力河南省全民</w:t>
      </w:r>
      <w:r>
        <w:rPr>
          <w:rFonts w:hint="eastAsia" w:ascii="仿宋_GB2312"/>
          <w:sz w:val="32"/>
          <w:szCs w:val="32"/>
          <w:lang w:val="en-US" w:eastAsia="zh-CN"/>
        </w:rPr>
        <w:t>基本科学</w:t>
      </w:r>
      <w:r>
        <w:rPr>
          <w:rFonts w:hint="eastAsia" w:ascii="仿宋_GB2312"/>
          <w:sz w:val="32"/>
          <w:szCs w:val="32"/>
        </w:rPr>
        <w:t>素质提升。</w:t>
      </w:r>
    </w:p>
    <w:p>
      <w:pPr>
        <w:pStyle w:val="7"/>
        <w:shd w:val="clear" w:color="auto" w:fill="FFFFFF"/>
        <w:spacing w:before="0" w:beforeAutospacing="0" w:after="0" w:afterAutospacing="0" w:line="560" w:lineRule="exact"/>
        <w:ind w:firstLine="640"/>
        <w:jc w:val="both"/>
        <w:rPr>
          <w:rFonts w:ascii="黑体" w:hAnsi="黑体" w:eastAsia="黑体"/>
          <w:sz w:val="32"/>
          <w:szCs w:val="32"/>
        </w:rPr>
      </w:pPr>
      <w:r>
        <w:rPr>
          <w:rFonts w:hint="eastAsia" w:ascii="黑体" w:hAnsi="黑体" w:eastAsia="黑体"/>
          <w:sz w:val="32"/>
          <w:szCs w:val="32"/>
        </w:rPr>
        <w:t>六、其他需要说明的问题</w:t>
      </w:r>
    </w:p>
    <w:p>
      <w:pPr>
        <w:spacing w:line="600" w:lineRule="exact"/>
        <w:ind w:firstLine="640" w:firstLineChars="200"/>
        <w:rPr>
          <w:rFonts w:ascii="仿宋_GB2312"/>
          <w:sz w:val="32"/>
          <w:szCs w:val="32"/>
        </w:rPr>
      </w:pPr>
      <w:r>
        <w:rPr>
          <w:rFonts w:hint="eastAsia" w:ascii="仿宋_GB2312"/>
          <w:sz w:val="32"/>
          <w:szCs w:val="32"/>
        </w:rPr>
        <w:t>无</w:t>
      </w:r>
    </w:p>
    <w:p>
      <w:pPr>
        <w:spacing w:line="600" w:lineRule="exact"/>
        <w:ind w:firstLine="640" w:firstLineChars="200"/>
        <w:rPr>
          <w:rFonts w:ascii="仿宋_GB2312"/>
          <w:sz w:val="32"/>
          <w:szCs w:val="32"/>
        </w:rPr>
      </w:pPr>
      <w:r>
        <w:rPr>
          <w:rFonts w:hint="eastAsia" w:ascii="仿宋_GB2312"/>
          <w:sz w:val="32"/>
          <w:szCs w:val="32"/>
        </w:rPr>
        <w:t>附件：项目单位自评汇总表</w:t>
      </w:r>
    </w:p>
    <w:p>
      <w:pPr>
        <w:spacing w:line="600" w:lineRule="exact"/>
        <w:ind w:firstLine="640" w:firstLineChars="200"/>
        <w:rPr>
          <w:rFonts w:ascii="仿宋_GB2312"/>
          <w:sz w:val="32"/>
          <w:szCs w:val="32"/>
        </w:rPr>
      </w:pPr>
    </w:p>
    <w:p>
      <w:pPr>
        <w:spacing w:line="600" w:lineRule="exact"/>
        <w:ind w:firstLine="640" w:firstLineChars="200"/>
        <w:jc w:val="right"/>
        <w:rPr>
          <w:sz w:val="32"/>
          <w:szCs w:val="32"/>
        </w:rPr>
      </w:pPr>
      <w:r>
        <w:rPr>
          <w:rFonts w:hint="eastAsia"/>
          <w:sz w:val="32"/>
          <w:szCs w:val="32"/>
        </w:rPr>
        <w:t>河南省科学技术协会</w:t>
      </w:r>
    </w:p>
    <w:p>
      <w:pPr>
        <w:spacing w:line="600" w:lineRule="exact"/>
        <w:ind w:right="96" w:rightChars="30" w:firstLine="640" w:firstLineChars="200"/>
        <w:jc w:val="right"/>
        <w:rPr>
          <w:sz w:val="32"/>
          <w:szCs w:val="32"/>
        </w:rPr>
        <w:sectPr>
          <w:footerReference r:id="rId5" w:type="default"/>
          <w:footerReference r:id="rId6" w:type="even"/>
          <w:pgSz w:w="11906" w:h="16838"/>
          <w:pgMar w:top="1440" w:right="1800" w:bottom="1440" w:left="1800" w:header="851" w:footer="992" w:gutter="0"/>
          <w:cols w:space="720" w:num="1"/>
          <w:docGrid w:type="lines" w:linePitch="408" w:charSpace="0"/>
        </w:sectPr>
      </w:pPr>
      <w:r>
        <w:rPr>
          <w:rFonts w:hint="eastAsia"/>
          <w:sz w:val="32"/>
          <w:szCs w:val="32"/>
        </w:rPr>
        <w:t>202</w:t>
      </w:r>
      <w:r>
        <w:rPr>
          <w:rFonts w:hint="eastAsia"/>
          <w:sz w:val="32"/>
          <w:szCs w:val="32"/>
          <w:lang w:val="en-US" w:eastAsia="zh-CN"/>
        </w:rPr>
        <w:t>4</w:t>
      </w:r>
      <w:r>
        <w:rPr>
          <w:rFonts w:hint="eastAsia"/>
          <w:sz w:val="32"/>
          <w:szCs w:val="32"/>
        </w:rPr>
        <w:t>年</w:t>
      </w:r>
      <w:r>
        <w:rPr>
          <w:rFonts w:hint="eastAsia"/>
          <w:sz w:val="32"/>
          <w:szCs w:val="32"/>
          <w:lang w:val="en-US" w:eastAsia="zh-CN"/>
        </w:rPr>
        <w:t>5</w:t>
      </w:r>
      <w:r>
        <w:rPr>
          <w:rFonts w:hint="eastAsia"/>
          <w:sz w:val="32"/>
          <w:szCs w:val="32"/>
        </w:rPr>
        <w:t>月</w:t>
      </w:r>
      <w:r>
        <w:rPr>
          <w:rFonts w:hint="eastAsia"/>
          <w:sz w:val="32"/>
          <w:szCs w:val="32"/>
          <w:lang w:val="en-US" w:eastAsia="zh-CN"/>
        </w:rPr>
        <w:t>10</w:t>
      </w:r>
      <w:r>
        <w:rPr>
          <w:rFonts w:hint="eastAsia"/>
          <w:sz w:val="32"/>
          <w:szCs w:val="32"/>
        </w:rPr>
        <w:t>日</w:t>
      </w:r>
    </w:p>
    <w:p>
      <w:pPr>
        <w:ind w:left="0" w:leftChars="0" w:firstLine="0" w:firstLineChars="0"/>
        <w:jc w:val="center"/>
        <w:rPr>
          <w:rFonts w:hint="eastAsia"/>
        </w:rPr>
      </w:pPr>
      <w:r>
        <w:rPr>
          <w:rFonts w:hint="eastAsia"/>
        </w:rPr>
        <w:t>项目单位自评汇总表</w:t>
      </w: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88"/>
        <w:gridCol w:w="2539"/>
        <w:gridCol w:w="1600"/>
        <w:gridCol w:w="1253"/>
        <w:gridCol w:w="1240"/>
        <w:gridCol w:w="1267"/>
        <w:gridCol w:w="1093"/>
        <w:gridCol w:w="1160"/>
        <w:gridCol w:w="1067"/>
        <w:gridCol w:w="973"/>
        <w:gridCol w:w="747"/>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72" w:type="pct"/>
            <w:shd w:val="clear" w:color="auto" w:fill="auto"/>
            <w:vAlign w:val="center"/>
          </w:tcPr>
          <w:p>
            <w:pPr>
              <w:pStyle w:val="18"/>
              <w:bidi w:val="0"/>
              <w:rPr>
                <w:rFonts w:hint="eastAsia"/>
                <w:b/>
                <w:bCs/>
              </w:rPr>
            </w:pPr>
            <w:r>
              <w:rPr>
                <w:rFonts w:hint="eastAsia"/>
                <w:b/>
                <w:bCs/>
                <w:lang w:val="en-US" w:eastAsia="zh-CN"/>
              </w:rPr>
              <w:t>序号</w:t>
            </w:r>
          </w:p>
        </w:tc>
        <w:tc>
          <w:tcPr>
            <w:tcW w:w="896" w:type="pct"/>
            <w:shd w:val="clear" w:color="auto" w:fill="auto"/>
            <w:vAlign w:val="center"/>
          </w:tcPr>
          <w:p>
            <w:pPr>
              <w:pStyle w:val="18"/>
              <w:bidi w:val="0"/>
              <w:rPr>
                <w:rFonts w:hint="eastAsia"/>
                <w:b/>
                <w:bCs/>
              </w:rPr>
            </w:pPr>
            <w:r>
              <w:rPr>
                <w:rFonts w:hint="eastAsia"/>
                <w:b/>
                <w:bCs/>
                <w:lang w:val="en-US" w:eastAsia="zh-CN"/>
              </w:rPr>
              <w:t>项目名称</w:t>
            </w:r>
          </w:p>
        </w:tc>
        <w:tc>
          <w:tcPr>
            <w:tcW w:w="564" w:type="pct"/>
            <w:shd w:val="clear" w:color="auto" w:fill="auto"/>
            <w:vAlign w:val="center"/>
          </w:tcPr>
          <w:p>
            <w:pPr>
              <w:pStyle w:val="18"/>
              <w:bidi w:val="0"/>
              <w:rPr>
                <w:rFonts w:hint="eastAsia"/>
                <w:b/>
                <w:bCs/>
              </w:rPr>
            </w:pPr>
            <w:r>
              <w:rPr>
                <w:rFonts w:hint="eastAsia"/>
                <w:b/>
                <w:bCs/>
                <w:lang w:val="en-US" w:eastAsia="zh-CN"/>
              </w:rPr>
              <w:t>全年预算数（万元）</w:t>
            </w:r>
          </w:p>
        </w:tc>
        <w:tc>
          <w:tcPr>
            <w:tcW w:w="442" w:type="pct"/>
            <w:shd w:val="clear" w:color="auto" w:fill="auto"/>
            <w:vAlign w:val="center"/>
          </w:tcPr>
          <w:p>
            <w:pPr>
              <w:pStyle w:val="18"/>
              <w:bidi w:val="0"/>
              <w:rPr>
                <w:rFonts w:hint="eastAsia"/>
                <w:b/>
                <w:bCs/>
              </w:rPr>
            </w:pPr>
            <w:r>
              <w:rPr>
                <w:rFonts w:hint="eastAsia"/>
                <w:b/>
                <w:bCs/>
                <w:lang w:val="en-US" w:eastAsia="zh-CN"/>
              </w:rPr>
              <w:t>全年执行数（万元）</w:t>
            </w:r>
          </w:p>
        </w:tc>
        <w:tc>
          <w:tcPr>
            <w:tcW w:w="437" w:type="pct"/>
            <w:shd w:val="clear" w:color="auto" w:fill="auto"/>
            <w:vAlign w:val="center"/>
          </w:tcPr>
          <w:p>
            <w:pPr>
              <w:pStyle w:val="18"/>
              <w:bidi w:val="0"/>
              <w:rPr>
                <w:rFonts w:hint="eastAsia"/>
                <w:b/>
                <w:bCs/>
              </w:rPr>
            </w:pPr>
            <w:r>
              <w:rPr>
                <w:rFonts w:hint="eastAsia"/>
                <w:b/>
                <w:bCs/>
                <w:lang w:val="en-US" w:eastAsia="zh-CN"/>
              </w:rPr>
              <w:t>预算执行率</w:t>
            </w:r>
          </w:p>
        </w:tc>
        <w:tc>
          <w:tcPr>
            <w:tcW w:w="447" w:type="pct"/>
            <w:shd w:val="clear" w:color="auto" w:fill="auto"/>
            <w:vAlign w:val="center"/>
          </w:tcPr>
          <w:p>
            <w:pPr>
              <w:pStyle w:val="18"/>
              <w:bidi w:val="0"/>
              <w:rPr>
                <w:rFonts w:hint="eastAsia"/>
                <w:b/>
                <w:bCs/>
              </w:rPr>
            </w:pPr>
            <w:r>
              <w:rPr>
                <w:rFonts w:hint="eastAsia"/>
                <w:b/>
                <w:bCs/>
                <w:lang w:val="en-US" w:eastAsia="zh-CN"/>
              </w:rPr>
              <w:t>资金管理情况得分率</w:t>
            </w:r>
          </w:p>
        </w:tc>
        <w:tc>
          <w:tcPr>
            <w:tcW w:w="385" w:type="pct"/>
            <w:shd w:val="clear" w:color="auto" w:fill="auto"/>
            <w:vAlign w:val="center"/>
          </w:tcPr>
          <w:p>
            <w:pPr>
              <w:pStyle w:val="18"/>
              <w:bidi w:val="0"/>
              <w:rPr>
                <w:rFonts w:hint="eastAsia"/>
                <w:b/>
                <w:bCs/>
              </w:rPr>
            </w:pPr>
            <w:r>
              <w:rPr>
                <w:rFonts w:hint="eastAsia"/>
                <w:b/>
                <w:bCs/>
                <w:lang w:val="en-US" w:eastAsia="zh-CN"/>
              </w:rPr>
              <w:t>成本指标得分率</w:t>
            </w:r>
          </w:p>
        </w:tc>
        <w:tc>
          <w:tcPr>
            <w:tcW w:w="409" w:type="pct"/>
            <w:shd w:val="clear" w:color="auto" w:fill="auto"/>
            <w:vAlign w:val="center"/>
          </w:tcPr>
          <w:p>
            <w:pPr>
              <w:pStyle w:val="18"/>
              <w:bidi w:val="0"/>
              <w:rPr>
                <w:rFonts w:hint="eastAsia"/>
                <w:b/>
                <w:bCs/>
              </w:rPr>
            </w:pPr>
            <w:r>
              <w:rPr>
                <w:rFonts w:hint="eastAsia"/>
                <w:b/>
                <w:bCs/>
                <w:lang w:val="en-US" w:eastAsia="zh-CN"/>
              </w:rPr>
              <w:t>产出指标得分率</w:t>
            </w:r>
          </w:p>
        </w:tc>
        <w:tc>
          <w:tcPr>
            <w:tcW w:w="376" w:type="pct"/>
            <w:shd w:val="clear" w:color="auto" w:fill="auto"/>
            <w:vAlign w:val="center"/>
          </w:tcPr>
          <w:p>
            <w:pPr>
              <w:pStyle w:val="18"/>
              <w:bidi w:val="0"/>
              <w:rPr>
                <w:rFonts w:hint="eastAsia"/>
                <w:b/>
                <w:bCs/>
              </w:rPr>
            </w:pPr>
            <w:r>
              <w:rPr>
                <w:rFonts w:hint="eastAsia"/>
                <w:b/>
                <w:bCs/>
                <w:lang w:val="en-US" w:eastAsia="zh-CN"/>
              </w:rPr>
              <w:t>效益指标得分率</w:t>
            </w:r>
          </w:p>
        </w:tc>
        <w:tc>
          <w:tcPr>
            <w:tcW w:w="343" w:type="pct"/>
            <w:shd w:val="clear" w:color="auto" w:fill="auto"/>
            <w:vAlign w:val="center"/>
          </w:tcPr>
          <w:p>
            <w:pPr>
              <w:pStyle w:val="18"/>
              <w:bidi w:val="0"/>
              <w:rPr>
                <w:rFonts w:hint="eastAsia"/>
                <w:b/>
                <w:bCs/>
              </w:rPr>
            </w:pPr>
            <w:r>
              <w:rPr>
                <w:rFonts w:hint="eastAsia"/>
                <w:b/>
                <w:bCs/>
                <w:lang w:val="en-US" w:eastAsia="zh-CN"/>
              </w:rPr>
              <w:t>满意度指标得分率</w:t>
            </w:r>
          </w:p>
        </w:tc>
        <w:tc>
          <w:tcPr>
            <w:tcW w:w="263" w:type="pct"/>
            <w:shd w:val="clear" w:color="auto" w:fill="auto"/>
            <w:vAlign w:val="center"/>
          </w:tcPr>
          <w:p>
            <w:pPr>
              <w:pStyle w:val="18"/>
              <w:bidi w:val="0"/>
              <w:rPr>
                <w:rFonts w:hint="eastAsia"/>
                <w:b/>
                <w:bCs/>
              </w:rPr>
            </w:pPr>
            <w:r>
              <w:rPr>
                <w:rFonts w:hint="eastAsia"/>
                <w:b/>
                <w:bCs/>
                <w:lang w:val="en-US" w:eastAsia="zh-CN"/>
              </w:rPr>
              <w:t>自评得分</w:t>
            </w:r>
          </w:p>
        </w:tc>
        <w:tc>
          <w:tcPr>
            <w:tcW w:w="260" w:type="pct"/>
            <w:shd w:val="clear" w:color="auto" w:fill="auto"/>
            <w:vAlign w:val="center"/>
          </w:tcPr>
          <w:p>
            <w:pPr>
              <w:pStyle w:val="18"/>
              <w:bidi w:val="0"/>
              <w:rPr>
                <w:rFonts w:hint="eastAsia"/>
                <w:b/>
                <w:bCs/>
              </w:rPr>
            </w:pPr>
            <w:r>
              <w:rPr>
                <w:rFonts w:hint="eastAsia"/>
                <w:b/>
                <w:bCs/>
                <w:lang w:val="en-US" w:eastAsia="zh-CN"/>
              </w:rPr>
              <w:t>是否有较大偏差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72" w:type="pct"/>
            <w:shd w:val="clear" w:color="auto" w:fill="auto"/>
            <w:vAlign w:val="center"/>
          </w:tcPr>
          <w:p>
            <w:pPr>
              <w:pStyle w:val="18"/>
              <w:bidi w:val="0"/>
              <w:rPr>
                <w:rFonts w:hint="default"/>
              </w:rPr>
            </w:pPr>
            <w:r>
              <w:rPr>
                <w:rFonts w:hint="default"/>
                <w:lang w:val="en-US" w:eastAsia="zh-CN"/>
              </w:rPr>
              <w:t>1</w:t>
            </w:r>
          </w:p>
        </w:tc>
        <w:tc>
          <w:tcPr>
            <w:tcW w:w="896" w:type="pct"/>
            <w:shd w:val="clear" w:color="auto" w:fill="auto"/>
            <w:vAlign w:val="center"/>
          </w:tcPr>
          <w:p>
            <w:pPr>
              <w:pStyle w:val="18"/>
              <w:bidi w:val="0"/>
              <w:rPr>
                <w:rFonts w:hint="eastAsia"/>
              </w:rPr>
            </w:pPr>
            <w:r>
              <w:rPr>
                <w:rFonts w:hint="eastAsia"/>
                <w:lang w:val="en-US" w:eastAsia="zh-CN"/>
              </w:rPr>
              <w:t>培训</w:t>
            </w:r>
            <w:r>
              <w:rPr>
                <w:rFonts w:hint="default"/>
                <w:lang w:val="en-US" w:eastAsia="zh-CN"/>
              </w:rPr>
              <w:t>-</w:t>
            </w:r>
            <w:r>
              <w:rPr>
                <w:lang w:val="en-US" w:eastAsia="zh-CN"/>
              </w:rPr>
              <w:t>科协机关</w:t>
            </w:r>
          </w:p>
        </w:tc>
        <w:tc>
          <w:tcPr>
            <w:tcW w:w="564" w:type="pct"/>
            <w:shd w:val="clear" w:color="auto" w:fill="auto"/>
            <w:vAlign w:val="center"/>
          </w:tcPr>
          <w:p>
            <w:pPr>
              <w:pStyle w:val="18"/>
              <w:bidi w:val="0"/>
              <w:rPr>
                <w:rFonts w:hint="default"/>
              </w:rPr>
            </w:pPr>
            <w:r>
              <w:rPr>
                <w:rFonts w:hint="default"/>
                <w:lang w:val="en-US" w:eastAsia="zh-CN"/>
              </w:rPr>
              <w:t>20</w:t>
            </w:r>
          </w:p>
        </w:tc>
        <w:tc>
          <w:tcPr>
            <w:tcW w:w="442" w:type="pct"/>
            <w:shd w:val="clear" w:color="auto" w:fill="auto"/>
            <w:vAlign w:val="center"/>
          </w:tcPr>
          <w:p>
            <w:pPr>
              <w:pStyle w:val="18"/>
              <w:bidi w:val="0"/>
              <w:rPr>
                <w:rFonts w:hint="default"/>
              </w:rPr>
            </w:pPr>
            <w:r>
              <w:rPr>
                <w:rFonts w:hint="default"/>
                <w:lang w:val="en-US" w:eastAsia="zh-CN"/>
              </w:rPr>
              <w:t>20</w:t>
            </w:r>
          </w:p>
        </w:tc>
        <w:tc>
          <w:tcPr>
            <w:tcW w:w="437" w:type="pct"/>
            <w:shd w:val="clear" w:color="auto" w:fill="auto"/>
            <w:vAlign w:val="center"/>
          </w:tcPr>
          <w:p>
            <w:pPr>
              <w:pStyle w:val="18"/>
              <w:bidi w:val="0"/>
              <w:rPr>
                <w:rFonts w:hint="default"/>
              </w:rPr>
            </w:pPr>
            <w:r>
              <w:rPr>
                <w:rFonts w:hint="default"/>
                <w:lang w:val="en-US" w:eastAsia="zh-CN"/>
              </w:rPr>
              <w:t>100%</w:t>
            </w:r>
          </w:p>
        </w:tc>
        <w:tc>
          <w:tcPr>
            <w:tcW w:w="447" w:type="pct"/>
            <w:shd w:val="clear" w:color="auto" w:fill="auto"/>
            <w:vAlign w:val="center"/>
          </w:tcPr>
          <w:p>
            <w:pPr>
              <w:pStyle w:val="18"/>
              <w:bidi w:val="0"/>
              <w:rPr>
                <w:rFonts w:hint="default"/>
              </w:rPr>
            </w:pPr>
            <w:r>
              <w:rPr>
                <w:rFonts w:hint="default"/>
                <w:lang w:val="en-US" w:eastAsia="zh-CN"/>
              </w:rPr>
              <w:t>100%</w:t>
            </w:r>
          </w:p>
        </w:tc>
        <w:tc>
          <w:tcPr>
            <w:tcW w:w="385" w:type="pct"/>
            <w:shd w:val="clear" w:color="auto" w:fill="auto"/>
            <w:vAlign w:val="center"/>
          </w:tcPr>
          <w:p>
            <w:pPr>
              <w:pStyle w:val="18"/>
              <w:bidi w:val="0"/>
              <w:rPr>
                <w:rFonts w:hint="default"/>
              </w:rPr>
            </w:pPr>
            <w:r>
              <w:rPr>
                <w:rFonts w:hint="default"/>
                <w:lang w:val="en-US" w:eastAsia="zh-CN"/>
              </w:rPr>
              <w:t>/</w:t>
            </w:r>
          </w:p>
        </w:tc>
        <w:tc>
          <w:tcPr>
            <w:tcW w:w="409" w:type="pct"/>
            <w:shd w:val="clear" w:color="auto" w:fill="auto"/>
            <w:vAlign w:val="center"/>
          </w:tcPr>
          <w:p>
            <w:pPr>
              <w:pStyle w:val="18"/>
              <w:bidi w:val="0"/>
              <w:rPr>
                <w:rFonts w:hint="default"/>
              </w:rPr>
            </w:pPr>
            <w:r>
              <w:rPr>
                <w:rFonts w:hint="default"/>
                <w:lang w:val="en-US" w:eastAsia="zh-CN"/>
              </w:rPr>
              <w:t>100%</w:t>
            </w:r>
          </w:p>
        </w:tc>
        <w:tc>
          <w:tcPr>
            <w:tcW w:w="376" w:type="pct"/>
            <w:shd w:val="clear" w:color="auto" w:fill="auto"/>
            <w:vAlign w:val="center"/>
          </w:tcPr>
          <w:p>
            <w:pPr>
              <w:pStyle w:val="18"/>
              <w:bidi w:val="0"/>
              <w:rPr>
                <w:rFonts w:hint="default"/>
              </w:rPr>
            </w:pPr>
            <w:r>
              <w:rPr>
                <w:rFonts w:hint="default"/>
                <w:lang w:val="en-US" w:eastAsia="zh-CN"/>
              </w:rPr>
              <w:t>100%</w:t>
            </w:r>
          </w:p>
        </w:tc>
        <w:tc>
          <w:tcPr>
            <w:tcW w:w="343" w:type="pct"/>
            <w:shd w:val="clear" w:color="auto" w:fill="auto"/>
            <w:vAlign w:val="center"/>
          </w:tcPr>
          <w:p>
            <w:pPr>
              <w:pStyle w:val="18"/>
              <w:bidi w:val="0"/>
              <w:rPr>
                <w:rFonts w:hint="default"/>
              </w:rPr>
            </w:pPr>
            <w:r>
              <w:rPr>
                <w:rFonts w:hint="default"/>
                <w:lang w:val="en-US" w:eastAsia="zh-CN"/>
              </w:rPr>
              <w:t>100%</w:t>
            </w:r>
          </w:p>
        </w:tc>
        <w:tc>
          <w:tcPr>
            <w:tcW w:w="263" w:type="pct"/>
            <w:shd w:val="clear" w:color="auto" w:fill="auto"/>
            <w:vAlign w:val="center"/>
          </w:tcPr>
          <w:p>
            <w:pPr>
              <w:pStyle w:val="18"/>
              <w:bidi w:val="0"/>
              <w:rPr>
                <w:rFonts w:hint="default"/>
              </w:rPr>
            </w:pPr>
            <w:r>
              <w:rPr>
                <w:rFonts w:hint="default"/>
                <w:lang w:val="en-US" w:eastAsia="zh-CN"/>
              </w:rPr>
              <w:t>100</w:t>
            </w:r>
          </w:p>
        </w:tc>
        <w:tc>
          <w:tcPr>
            <w:tcW w:w="260" w:type="pct"/>
            <w:shd w:val="clear" w:color="auto" w:fill="auto"/>
            <w:vAlign w:val="center"/>
          </w:tcPr>
          <w:p>
            <w:pPr>
              <w:pStyle w:val="18"/>
              <w:bidi w:val="0"/>
              <w:rPr>
                <w:rFonts w:hint="eastAsia"/>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72" w:type="pct"/>
            <w:shd w:val="clear" w:color="auto" w:fill="auto"/>
            <w:vAlign w:val="center"/>
          </w:tcPr>
          <w:p>
            <w:pPr>
              <w:pStyle w:val="18"/>
              <w:bidi w:val="0"/>
              <w:rPr>
                <w:rFonts w:hint="default"/>
              </w:rPr>
            </w:pPr>
            <w:r>
              <w:rPr>
                <w:rFonts w:hint="default"/>
                <w:lang w:val="en-US" w:eastAsia="zh-CN"/>
              </w:rPr>
              <w:t>2</w:t>
            </w:r>
          </w:p>
        </w:tc>
        <w:tc>
          <w:tcPr>
            <w:tcW w:w="896" w:type="pct"/>
            <w:shd w:val="clear" w:color="auto" w:fill="auto"/>
            <w:vAlign w:val="center"/>
          </w:tcPr>
          <w:p>
            <w:pPr>
              <w:pStyle w:val="18"/>
              <w:bidi w:val="0"/>
              <w:rPr>
                <w:rFonts w:hint="eastAsia"/>
              </w:rPr>
            </w:pPr>
            <w:r>
              <w:rPr>
                <w:rFonts w:hint="eastAsia"/>
                <w:lang w:val="en-US" w:eastAsia="zh-CN"/>
              </w:rPr>
              <w:t>科协事业发展工作经费</w:t>
            </w:r>
          </w:p>
        </w:tc>
        <w:tc>
          <w:tcPr>
            <w:tcW w:w="564" w:type="pct"/>
            <w:shd w:val="clear" w:color="auto" w:fill="auto"/>
            <w:vAlign w:val="center"/>
          </w:tcPr>
          <w:p>
            <w:pPr>
              <w:pStyle w:val="18"/>
              <w:bidi w:val="0"/>
              <w:rPr>
                <w:rFonts w:hint="default"/>
              </w:rPr>
            </w:pPr>
            <w:r>
              <w:rPr>
                <w:rFonts w:hint="default"/>
                <w:lang w:val="en-US" w:eastAsia="zh-CN"/>
              </w:rPr>
              <w:t>50</w:t>
            </w:r>
          </w:p>
        </w:tc>
        <w:tc>
          <w:tcPr>
            <w:tcW w:w="442" w:type="pct"/>
            <w:shd w:val="clear" w:color="auto" w:fill="auto"/>
            <w:vAlign w:val="center"/>
          </w:tcPr>
          <w:p>
            <w:pPr>
              <w:pStyle w:val="18"/>
              <w:bidi w:val="0"/>
              <w:rPr>
                <w:rFonts w:hint="default"/>
              </w:rPr>
            </w:pPr>
            <w:r>
              <w:rPr>
                <w:rFonts w:hint="default"/>
                <w:lang w:val="en-US" w:eastAsia="zh-CN"/>
              </w:rPr>
              <w:t>50</w:t>
            </w:r>
          </w:p>
        </w:tc>
        <w:tc>
          <w:tcPr>
            <w:tcW w:w="437" w:type="pct"/>
            <w:shd w:val="clear" w:color="auto" w:fill="auto"/>
            <w:vAlign w:val="center"/>
          </w:tcPr>
          <w:p>
            <w:pPr>
              <w:pStyle w:val="18"/>
              <w:bidi w:val="0"/>
              <w:rPr>
                <w:rFonts w:hint="default"/>
              </w:rPr>
            </w:pPr>
            <w:r>
              <w:rPr>
                <w:rFonts w:hint="default"/>
                <w:lang w:val="en-US" w:eastAsia="zh-CN"/>
              </w:rPr>
              <w:t>100%</w:t>
            </w:r>
          </w:p>
        </w:tc>
        <w:tc>
          <w:tcPr>
            <w:tcW w:w="447" w:type="pct"/>
            <w:shd w:val="clear" w:color="auto" w:fill="auto"/>
            <w:vAlign w:val="center"/>
          </w:tcPr>
          <w:p>
            <w:pPr>
              <w:pStyle w:val="18"/>
              <w:bidi w:val="0"/>
              <w:rPr>
                <w:rFonts w:hint="default"/>
              </w:rPr>
            </w:pPr>
            <w:r>
              <w:rPr>
                <w:rFonts w:hint="default"/>
                <w:lang w:val="en-US" w:eastAsia="zh-CN"/>
              </w:rPr>
              <w:t>100%</w:t>
            </w:r>
          </w:p>
        </w:tc>
        <w:tc>
          <w:tcPr>
            <w:tcW w:w="385" w:type="pct"/>
            <w:shd w:val="clear" w:color="auto" w:fill="auto"/>
            <w:vAlign w:val="center"/>
          </w:tcPr>
          <w:p>
            <w:pPr>
              <w:pStyle w:val="18"/>
              <w:bidi w:val="0"/>
              <w:rPr>
                <w:rFonts w:hint="default"/>
              </w:rPr>
            </w:pPr>
            <w:r>
              <w:rPr>
                <w:rFonts w:hint="default"/>
                <w:lang w:val="en-US" w:eastAsia="zh-CN"/>
              </w:rPr>
              <w:t>/</w:t>
            </w:r>
          </w:p>
        </w:tc>
        <w:tc>
          <w:tcPr>
            <w:tcW w:w="409" w:type="pct"/>
            <w:shd w:val="clear" w:color="auto" w:fill="auto"/>
            <w:vAlign w:val="center"/>
          </w:tcPr>
          <w:p>
            <w:pPr>
              <w:pStyle w:val="18"/>
              <w:bidi w:val="0"/>
              <w:rPr>
                <w:rFonts w:hint="default"/>
              </w:rPr>
            </w:pPr>
            <w:r>
              <w:rPr>
                <w:rFonts w:hint="default"/>
                <w:lang w:val="en-US" w:eastAsia="zh-CN"/>
              </w:rPr>
              <w:t>94.75%</w:t>
            </w:r>
          </w:p>
        </w:tc>
        <w:tc>
          <w:tcPr>
            <w:tcW w:w="376" w:type="pct"/>
            <w:shd w:val="clear" w:color="auto" w:fill="auto"/>
            <w:vAlign w:val="center"/>
          </w:tcPr>
          <w:p>
            <w:pPr>
              <w:pStyle w:val="18"/>
              <w:bidi w:val="0"/>
              <w:rPr>
                <w:rFonts w:hint="default"/>
              </w:rPr>
            </w:pPr>
            <w:r>
              <w:rPr>
                <w:rFonts w:hint="default"/>
                <w:lang w:val="en-US" w:eastAsia="zh-CN"/>
              </w:rPr>
              <w:t>100%</w:t>
            </w:r>
          </w:p>
        </w:tc>
        <w:tc>
          <w:tcPr>
            <w:tcW w:w="343" w:type="pct"/>
            <w:shd w:val="clear" w:color="auto" w:fill="auto"/>
            <w:vAlign w:val="center"/>
          </w:tcPr>
          <w:p>
            <w:pPr>
              <w:pStyle w:val="18"/>
              <w:bidi w:val="0"/>
              <w:rPr>
                <w:rFonts w:hint="default"/>
              </w:rPr>
            </w:pPr>
            <w:r>
              <w:rPr>
                <w:rFonts w:hint="default"/>
                <w:lang w:val="en-US" w:eastAsia="zh-CN"/>
              </w:rPr>
              <w:t>100%</w:t>
            </w:r>
          </w:p>
        </w:tc>
        <w:tc>
          <w:tcPr>
            <w:tcW w:w="263" w:type="pct"/>
            <w:shd w:val="clear" w:color="auto" w:fill="auto"/>
            <w:vAlign w:val="center"/>
          </w:tcPr>
          <w:p>
            <w:pPr>
              <w:pStyle w:val="18"/>
              <w:bidi w:val="0"/>
              <w:rPr>
                <w:rFonts w:hint="default"/>
              </w:rPr>
            </w:pPr>
            <w:r>
              <w:rPr>
                <w:rFonts w:hint="default"/>
                <w:lang w:val="en-US" w:eastAsia="zh-CN"/>
              </w:rPr>
              <w:t>97.9</w:t>
            </w:r>
          </w:p>
        </w:tc>
        <w:tc>
          <w:tcPr>
            <w:tcW w:w="260" w:type="pct"/>
            <w:shd w:val="clear" w:color="auto" w:fill="auto"/>
            <w:vAlign w:val="center"/>
          </w:tcPr>
          <w:p>
            <w:pPr>
              <w:pStyle w:val="18"/>
              <w:bidi w:val="0"/>
              <w:rPr>
                <w:rFonts w:hint="eastAsia"/>
              </w:rPr>
            </w:pP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72" w:type="pct"/>
            <w:shd w:val="clear" w:color="auto" w:fill="auto"/>
            <w:vAlign w:val="center"/>
          </w:tcPr>
          <w:p>
            <w:pPr>
              <w:pStyle w:val="18"/>
              <w:bidi w:val="0"/>
              <w:rPr>
                <w:rFonts w:hint="default"/>
              </w:rPr>
            </w:pPr>
            <w:r>
              <w:rPr>
                <w:rFonts w:hint="default"/>
                <w:lang w:val="en-US" w:eastAsia="zh-CN"/>
              </w:rPr>
              <w:t>3</w:t>
            </w:r>
          </w:p>
        </w:tc>
        <w:tc>
          <w:tcPr>
            <w:tcW w:w="896" w:type="pct"/>
            <w:shd w:val="clear" w:color="auto" w:fill="auto"/>
            <w:vAlign w:val="center"/>
          </w:tcPr>
          <w:p>
            <w:pPr>
              <w:pStyle w:val="18"/>
              <w:bidi w:val="0"/>
              <w:rPr>
                <w:rFonts w:hint="eastAsia"/>
              </w:rPr>
            </w:pPr>
            <w:r>
              <w:rPr>
                <w:rFonts w:hint="eastAsia"/>
                <w:lang w:val="en-US" w:eastAsia="zh-CN"/>
              </w:rPr>
              <w:t>会议</w:t>
            </w:r>
            <w:r>
              <w:rPr>
                <w:rFonts w:hint="default"/>
                <w:lang w:val="en-US" w:eastAsia="zh-CN"/>
              </w:rPr>
              <w:t>-</w:t>
            </w:r>
            <w:r>
              <w:rPr>
                <w:lang w:val="en-US" w:eastAsia="zh-CN"/>
              </w:rPr>
              <w:t>科协机关</w:t>
            </w:r>
          </w:p>
        </w:tc>
        <w:tc>
          <w:tcPr>
            <w:tcW w:w="564" w:type="pct"/>
            <w:shd w:val="clear" w:color="auto" w:fill="auto"/>
            <w:vAlign w:val="center"/>
          </w:tcPr>
          <w:p>
            <w:pPr>
              <w:pStyle w:val="18"/>
              <w:bidi w:val="0"/>
              <w:rPr>
                <w:rFonts w:hint="default"/>
              </w:rPr>
            </w:pPr>
            <w:r>
              <w:rPr>
                <w:rFonts w:hint="default"/>
                <w:lang w:val="en-US" w:eastAsia="zh-CN"/>
              </w:rPr>
              <w:t>20</w:t>
            </w:r>
          </w:p>
        </w:tc>
        <w:tc>
          <w:tcPr>
            <w:tcW w:w="442" w:type="pct"/>
            <w:shd w:val="clear" w:color="auto" w:fill="auto"/>
            <w:vAlign w:val="center"/>
          </w:tcPr>
          <w:p>
            <w:pPr>
              <w:pStyle w:val="18"/>
              <w:bidi w:val="0"/>
              <w:rPr>
                <w:rFonts w:hint="default"/>
              </w:rPr>
            </w:pPr>
            <w:r>
              <w:rPr>
                <w:rFonts w:hint="default"/>
                <w:lang w:val="en-US" w:eastAsia="zh-CN"/>
              </w:rPr>
              <w:t>19.75</w:t>
            </w:r>
          </w:p>
        </w:tc>
        <w:tc>
          <w:tcPr>
            <w:tcW w:w="437" w:type="pct"/>
            <w:shd w:val="clear" w:color="auto" w:fill="auto"/>
            <w:vAlign w:val="center"/>
          </w:tcPr>
          <w:p>
            <w:pPr>
              <w:pStyle w:val="18"/>
              <w:bidi w:val="0"/>
              <w:rPr>
                <w:rFonts w:hint="default"/>
              </w:rPr>
            </w:pPr>
            <w:r>
              <w:rPr>
                <w:rFonts w:hint="default"/>
                <w:lang w:val="en-US" w:eastAsia="zh-CN"/>
              </w:rPr>
              <w:t>98.75%</w:t>
            </w:r>
          </w:p>
        </w:tc>
        <w:tc>
          <w:tcPr>
            <w:tcW w:w="447" w:type="pct"/>
            <w:shd w:val="clear" w:color="auto" w:fill="auto"/>
            <w:vAlign w:val="center"/>
          </w:tcPr>
          <w:p>
            <w:pPr>
              <w:pStyle w:val="18"/>
              <w:bidi w:val="0"/>
              <w:rPr>
                <w:rFonts w:hint="default"/>
              </w:rPr>
            </w:pPr>
            <w:r>
              <w:rPr>
                <w:rFonts w:hint="default"/>
                <w:lang w:val="en-US" w:eastAsia="zh-CN"/>
              </w:rPr>
              <w:t>100%</w:t>
            </w:r>
          </w:p>
        </w:tc>
        <w:tc>
          <w:tcPr>
            <w:tcW w:w="385" w:type="pct"/>
            <w:shd w:val="clear" w:color="auto" w:fill="auto"/>
            <w:vAlign w:val="center"/>
          </w:tcPr>
          <w:p>
            <w:pPr>
              <w:pStyle w:val="18"/>
              <w:bidi w:val="0"/>
              <w:rPr>
                <w:rFonts w:hint="default"/>
              </w:rPr>
            </w:pPr>
            <w:r>
              <w:rPr>
                <w:rFonts w:hint="default"/>
                <w:lang w:val="en-US" w:eastAsia="zh-CN"/>
              </w:rPr>
              <w:t>/</w:t>
            </w:r>
          </w:p>
        </w:tc>
        <w:tc>
          <w:tcPr>
            <w:tcW w:w="409" w:type="pct"/>
            <w:shd w:val="clear" w:color="auto" w:fill="auto"/>
            <w:vAlign w:val="center"/>
          </w:tcPr>
          <w:p>
            <w:pPr>
              <w:pStyle w:val="18"/>
              <w:bidi w:val="0"/>
              <w:rPr>
                <w:rFonts w:hint="default"/>
              </w:rPr>
            </w:pPr>
            <w:r>
              <w:rPr>
                <w:rFonts w:hint="default"/>
                <w:lang w:val="en-US" w:eastAsia="zh-CN"/>
              </w:rPr>
              <w:t>100%</w:t>
            </w:r>
          </w:p>
        </w:tc>
        <w:tc>
          <w:tcPr>
            <w:tcW w:w="376" w:type="pct"/>
            <w:shd w:val="clear" w:color="auto" w:fill="auto"/>
            <w:vAlign w:val="center"/>
          </w:tcPr>
          <w:p>
            <w:pPr>
              <w:pStyle w:val="18"/>
              <w:bidi w:val="0"/>
              <w:rPr>
                <w:rFonts w:hint="default"/>
              </w:rPr>
            </w:pPr>
            <w:r>
              <w:rPr>
                <w:rFonts w:hint="default"/>
                <w:lang w:val="en-US" w:eastAsia="zh-CN"/>
              </w:rPr>
              <w:t>100%</w:t>
            </w:r>
          </w:p>
        </w:tc>
        <w:tc>
          <w:tcPr>
            <w:tcW w:w="343" w:type="pct"/>
            <w:shd w:val="clear" w:color="auto" w:fill="auto"/>
            <w:vAlign w:val="center"/>
          </w:tcPr>
          <w:p>
            <w:pPr>
              <w:pStyle w:val="18"/>
              <w:bidi w:val="0"/>
              <w:rPr>
                <w:rFonts w:hint="default"/>
              </w:rPr>
            </w:pPr>
            <w:r>
              <w:rPr>
                <w:rFonts w:hint="default"/>
                <w:lang w:val="en-US" w:eastAsia="zh-CN"/>
              </w:rPr>
              <w:t>100%</w:t>
            </w:r>
          </w:p>
        </w:tc>
        <w:tc>
          <w:tcPr>
            <w:tcW w:w="263" w:type="pct"/>
            <w:shd w:val="clear" w:color="auto" w:fill="auto"/>
            <w:vAlign w:val="center"/>
          </w:tcPr>
          <w:p>
            <w:pPr>
              <w:pStyle w:val="18"/>
              <w:bidi w:val="0"/>
              <w:rPr>
                <w:rFonts w:hint="default"/>
              </w:rPr>
            </w:pPr>
            <w:r>
              <w:rPr>
                <w:rFonts w:hint="default"/>
                <w:lang w:val="en-US" w:eastAsia="zh-CN"/>
              </w:rPr>
              <w:t>99.88</w:t>
            </w:r>
          </w:p>
        </w:tc>
        <w:tc>
          <w:tcPr>
            <w:tcW w:w="260" w:type="pct"/>
            <w:shd w:val="clear" w:color="auto" w:fill="auto"/>
            <w:vAlign w:val="center"/>
          </w:tcPr>
          <w:p>
            <w:pPr>
              <w:pStyle w:val="18"/>
              <w:bidi w:val="0"/>
              <w:rPr>
                <w:rFonts w:hint="eastAsia"/>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172" w:type="pct"/>
            <w:shd w:val="clear" w:color="auto" w:fill="auto"/>
            <w:vAlign w:val="center"/>
          </w:tcPr>
          <w:p>
            <w:pPr>
              <w:pStyle w:val="18"/>
              <w:bidi w:val="0"/>
              <w:rPr>
                <w:rFonts w:hint="default"/>
              </w:rPr>
            </w:pPr>
            <w:r>
              <w:rPr>
                <w:rFonts w:hint="default"/>
                <w:lang w:val="en-US" w:eastAsia="zh-CN"/>
              </w:rPr>
              <w:t>4</w:t>
            </w:r>
          </w:p>
        </w:tc>
        <w:tc>
          <w:tcPr>
            <w:tcW w:w="896" w:type="pct"/>
            <w:shd w:val="clear" w:color="auto" w:fill="auto"/>
            <w:vAlign w:val="center"/>
          </w:tcPr>
          <w:p>
            <w:pPr>
              <w:pStyle w:val="18"/>
              <w:bidi w:val="0"/>
              <w:rPr>
                <w:rFonts w:hint="eastAsia"/>
              </w:rPr>
            </w:pPr>
            <w:r>
              <w:rPr>
                <w:rFonts w:hint="eastAsia"/>
                <w:lang w:val="en-US" w:eastAsia="zh-CN"/>
              </w:rPr>
              <w:t>河南省科普及学会服务能力提升专项-市县</w:t>
            </w:r>
          </w:p>
        </w:tc>
        <w:tc>
          <w:tcPr>
            <w:tcW w:w="564" w:type="pct"/>
            <w:shd w:val="clear" w:color="auto" w:fill="auto"/>
            <w:vAlign w:val="center"/>
          </w:tcPr>
          <w:p>
            <w:pPr>
              <w:pStyle w:val="18"/>
              <w:bidi w:val="0"/>
              <w:rPr>
                <w:rFonts w:hint="default"/>
              </w:rPr>
            </w:pPr>
            <w:r>
              <w:rPr>
                <w:rFonts w:hint="default"/>
                <w:lang w:val="en-US" w:eastAsia="zh-CN"/>
              </w:rPr>
              <w:t>2119</w:t>
            </w:r>
          </w:p>
        </w:tc>
        <w:tc>
          <w:tcPr>
            <w:tcW w:w="442" w:type="pct"/>
            <w:shd w:val="clear" w:color="auto" w:fill="auto"/>
            <w:vAlign w:val="center"/>
          </w:tcPr>
          <w:p>
            <w:pPr>
              <w:pStyle w:val="18"/>
              <w:bidi w:val="0"/>
              <w:rPr>
                <w:rFonts w:hint="default"/>
              </w:rPr>
            </w:pPr>
            <w:r>
              <w:rPr>
                <w:rFonts w:hint="default"/>
                <w:lang w:val="en-US" w:eastAsia="zh-CN"/>
              </w:rPr>
              <w:t>2119</w:t>
            </w:r>
          </w:p>
        </w:tc>
        <w:tc>
          <w:tcPr>
            <w:tcW w:w="437" w:type="pct"/>
            <w:shd w:val="clear" w:color="auto" w:fill="auto"/>
            <w:vAlign w:val="center"/>
          </w:tcPr>
          <w:p>
            <w:pPr>
              <w:pStyle w:val="18"/>
              <w:bidi w:val="0"/>
              <w:rPr>
                <w:rFonts w:hint="default"/>
              </w:rPr>
            </w:pPr>
            <w:r>
              <w:rPr>
                <w:rFonts w:hint="default"/>
                <w:lang w:val="en-US" w:eastAsia="zh-CN"/>
              </w:rPr>
              <w:t>100%</w:t>
            </w:r>
          </w:p>
        </w:tc>
        <w:tc>
          <w:tcPr>
            <w:tcW w:w="447" w:type="pct"/>
            <w:shd w:val="clear" w:color="auto" w:fill="auto"/>
            <w:vAlign w:val="center"/>
          </w:tcPr>
          <w:p>
            <w:pPr>
              <w:pStyle w:val="18"/>
              <w:bidi w:val="0"/>
              <w:rPr>
                <w:rFonts w:hint="default"/>
              </w:rPr>
            </w:pPr>
            <w:r>
              <w:rPr>
                <w:rFonts w:hint="default"/>
                <w:lang w:val="en-US" w:eastAsia="zh-CN"/>
              </w:rPr>
              <w:t>100%</w:t>
            </w:r>
          </w:p>
        </w:tc>
        <w:tc>
          <w:tcPr>
            <w:tcW w:w="385" w:type="pct"/>
            <w:shd w:val="clear" w:color="auto" w:fill="auto"/>
            <w:vAlign w:val="center"/>
          </w:tcPr>
          <w:p>
            <w:pPr>
              <w:pStyle w:val="18"/>
              <w:bidi w:val="0"/>
              <w:rPr>
                <w:rFonts w:hint="default"/>
              </w:rPr>
            </w:pPr>
            <w:r>
              <w:rPr>
                <w:rFonts w:hint="default"/>
                <w:lang w:val="en-US" w:eastAsia="zh-CN"/>
              </w:rPr>
              <w:t>/</w:t>
            </w:r>
          </w:p>
        </w:tc>
        <w:tc>
          <w:tcPr>
            <w:tcW w:w="409" w:type="pct"/>
            <w:shd w:val="clear" w:color="auto" w:fill="auto"/>
            <w:vAlign w:val="center"/>
          </w:tcPr>
          <w:p>
            <w:pPr>
              <w:pStyle w:val="18"/>
              <w:bidi w:val="0"/>
              <w:rPr>
                <w:rFonts w:hint="default"/>
              </w:rPr>
            </w:pPr>
            <w:r>
              <w:rPr>
                <w:rFonts w:hint="default"/>
                <w:lang w:val="en-US" w:eastAsia="zh-CN"/>
              </w:rPr>
              <w:t>99.75%</w:t>
            </w:r>
          </w:p>
        </w:tc>
        <w:tc>
          <w:tcPr>
            <w:tcW w:w="376" w:type="pct"/>
            <w:shd w:val="clear" w:color="auto" w:fill="auto"/>
            <w:vAlign w:val="center"/>
          </w:tcPr>
          <w:p>
            <w:pPr>
              <w:pStyle w:val="18"/>
              <w:bidi w:val="0"/>
              <w:rPr>
                <w:rFonts w:hint="default"/>
              </w:rPr>
            </w:pPr>
            <w:r>
              <w:rPr>
                <w:rFonts w:hint="default"/>
                <w:lang w:val="en-US" w:eastAsia="zh-CN"/>
              </w:rPr>
              <w:t>100%</w:t>
            </w:r>
          </w:p>
        </w:tc>
        <w:tc>
          <w:tcPr>
            <w:tcW w:w="343" w:type="pct"/>
            <w:shd w:val="clear" w:color="auto" w:fill="auto"/>
            <w:vAlign w:val="center"/>
          </w:tcPr>
          <w:p>
            <w:pPr>
              <w:pStyle w:val="18"/>
              <w:bidi w:val="0"/>
              <w:rPr>
                <w:rFonts w:hint="default"/>
              </w:rPr>
            </w:pPr>
            <w:r>
              <w:rPr>
                <w:rFonts w:hint="default"/>
                <w:lang w:val="en-US" w:eastAsia="zh-CN"/>
              </w:rPr>
              <w:t>100%</w:t>
            </w:r>
          </w:p>
        </w:tc>
        <w:tc>
          <w:tcPr>
            <w:tcW w:w="263" w:type="pct"/>
            <w:shd w:val="clear" w:color="auto" w:fill="auto"/>
            <w:vAlign w:val="center"/>
          </w:tcPr>
          <w:p>
            <w:pPr>
              <w:pStyle w:val="18"/>
              <w:bidi w:val="0"/>
              <w:rPr>
                <w:rFonts w:hint="default"/>
              </w:rPr>
            </w:pPr>
            <w:r>
              <w:rPr>
                <w:rFonts w:hint="default"/>
                <w:lang w:val="en-US" w:eastAsia="zh-CN"/>
              </w:rPr>
              <w:t>99.9</w:t>
            </w:r>
          </w:p>
        </w:tc>
        <w:tc>
          <w:tcPr>
            <w:tcW w:w="260" w:type="pct"/>
            <w:shd w:val="clear" w:color="auto" w:fill="auto"/>
            <w:vAlign w:val="center"/>
          </w:tcPr>
          <w:p>
            <w:pPr>
              <w:pStyle w:val="18"/>
              <w:bidi w:val="0"/>
              <w:rPr>
                <w:rFonts w:hint="eastAsia"/>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72" w:type="pct"/>
            <w:shd w:val="clear" w:color="auto" w:fill="auto"/>
            <w:vAlign w:val="center"/>
          </w:tcPr>
          <w:p>
            <w:pPr>
              <w:pStyle w:val="18"/>
              <w:bidi w:val="0"/>
              <w:rPr>
                <w:rFonts w:hint="default"/>
              </w:rPr>
            </w:pPr>
            <w:r>
              <w:rPr>
                <w:rFonts w:hint="default"/>
                <w:lang w:val="en-US" w:eastAsia="zh-CN"/>
              </w:rPr>
              <w:t>5</w:t>
            </w:r>
          </w:p>
        </w:tc>
        <w:tc>
          <w:tcPr>
            <w:tcW w:w="896" w:type="pct"/>
            <w:shd w:val="clear" w:color="auto" w:fill="auto"/>
            <w:vAlign w:val="center"/>
          </w:tcPr>
          <w:p>
            <w:pPr>
              <w:pStyle w:val="18"/>
              <w:bidi w:val="0"/>
              <w:rPr>
                <w:rFonts w:hint="eastAsia"/>
              </w:rPr>
            </w:pPr>
            <w:r>
              <w:rPr>
                <w:rFonts w:hint="eastAsia"/>
                <w:lang w:val="en-US" w:eastAsia="zh-CN"/>
              </w:rPr>
              <w:t>因公出国（境）</w:t>
            </w:r>
          </w:p>
        </w:tc>
        <w:tc>
          <w:tcPr>
            <w:tcW w:w="564" w:type="pct"/>
            <w:shd w:val="clear" w:color="auto" w:fill="auto"/>
            <w:vAlign w:val="center"/>
          </w:tcPr>
          <w:p>
            <w:pPr>
              <w:pStyle w:val="18"/>
              <w:bidi w:val="0"/>
              <w:rPr>
                <w:rFonts w:hint="default"/>
              </w:rPr>
            </w:pPr>
            <w:r>
              <w:rPr>
                <w:rFonts w:hint="default"/>
                <w:lang w:val="en-US" w:eastAsia="zh-CN"/>
              </w:rPr>
              <w:t>10.3</w:t>
            </w:r>
          </w:p>
        </w:tc>
        <w:tc>
          <w:tcPr>
            <w:tcW w:w="442" w:type="pct"/>
            <w:shd w:val="clear" w:color="auto" w:fill="auto"/>
            <w:vAlign w:val="center"/>
          </w:tcPr>
          <w:p>
            <w:pPr>
              <w:pStyle w:val="18"/>
              <w:bidi w:val="0"/>
              <w:rPr>
                <w:rFonts w:hint="default"/>
              </w:rPr>
            </w:pPr>
            <w:r>
              <w:rPr>
                <w:rFonts w:hint="default"/>
                <w:lang w:val="en-US" w:eastAsia="zh-CN"/>
              </w:rPr>
              <w:t>10.28</w:t>
            </w:r>
          </w:p>
        </w:tc>
        <w:tc>
          <w:tcPr>
            <w:tcW w:w="437" w:type="pct"/>
            <w:shd w:val="clear" w:color="auto" w:fill="auto"/>
            <w:vAlign w:val="center"/>
          </w:tcPr>
          <w:p>
            <w:pPr>
              <w:pStyle w:val="18"/>
              <w:bidi w:val="0"/>
              <w:rPr>
                <w:rFonts w:hint="default"/>
              </w:rPr>
            </w:pPr>
            <w:r>
              <w:rPr>
                <w:rFonts w:hint="default"/>
                <w:lang w:val="en-US" w:eastAsia="zh-CN"/>
              </w:rPr>
              <w:t>100%</w:t>
            </w:r>
          </w:p>
        </w:tc>
        <w:tc>
          <w:tcPr>
            <w:tcW w:w="447" w:type="pct"/>
            <w:shd w:val="clear" w:color="auto" w:fill="auto"/>
            <w:vAlign w:val="center"/>
          </w:tcPr>
          <w:p>
            <w:pPr>
              <w:pStyle w:val="18"/>
              <w:bidi w:val="0"/>
              <w:rPr>
                <w:rFonts w:hint="default"/>
              </w:rPr>
            </w:pPr>
            <w:r>
              <w:rPr>
                <w:rFonts w:hint="default"/>
                <w:lang w:val="en-US" w:eastAsia="zh-CN"/>
              </w:rPr>
              <w:t>100.00%</w:t>
            </w:r>
          </w:p>
        </w:tc>
        <w:tc>
          <w:tcPr>
            <w:tcW w:w="385" w:type="pct"/>
            <w:shd w:val="clear" w:color="auto" w:fill="auto"/>
            <w:vAlign w:val="center"/>
          </w:tcPr>
          <w:p>
            <w:pPr>
              <w:pStyle w:val="18"/>
              <w:bidi w:val="0"/>
              <w:rPr>
                <w:rFonts w:hint="default"/>
              </w:rPr>
            </w:pPr>
            <w:r>
              <w:rPr>
                <w:rFonts w:hint="default"/>
                <w:lang w:val="en-US" w:eastAsia="zh-CN"/>
              </w:rPr>
              <w:t>/</w:t>
            </w:r>
          </w:p>
        </w:tc>
        <w:tc>
          <w:tcPr>
            <w:tcW w:w="409" w:type="pct"/>
            <w:shd w:val="clear" w:color="auto" w:fill="auto"/>
            <w:vAlign w:val="center"/>
          </w:tcPr>
          <w:p>
            <w:pPr>
              <w:pStyle w:val="18"/>
              <w:bidi w:val="0"/>
              <w:rPr>
                <w:rFonts w:hint="default"/>
              </w:rPr>
            </w:pPr>
            <w:r>
              <w:rPr>
                <w:rFonts w:hint="default"/>
                <w:lang w:val="en-US" w:eastAsia="zh-CN"/>
              </w:rPr>
              <w:t>100.00%</w:t>
            </w:r>
          </w:p>
        </w:tc>
        <w:tc>
          <w:tcPr>
            <w:tcW w:w="376" w:type="pct"/>
            <w:shd w:val="clear" w:color="auto" w:fill="auto"/>
            <w:vAlign w:val="center"/>
          </w:tcPr>
          <w:p>
            <w:pPr>
              <w:pStyle w:val="18"/>
              <w:bidi w:val="0"/>
              <w:rPr>
                <w:rFonts w:hint="default"/>
              </w:rPr>
            </w:pPr>
            <w:r>
              <w:rPr>
                <w:rFonts w:hint="default"/>
                <w:lang w:val="en-US" w:eastAsia="zh-CN"/>
              </w:rPr>
              <w:t>100%</w:t>
            </w:r>
          </w:p>
        </w:tc>
        <w:tc>
          <w:tcPr>
            <w:tcW w:w="343" w:type="pct"/>
            <w:shd w:val="clear" w:color="auto" w:fill="auto"/>
            <w:vAlign w:val="center"/>
          </w:tcPr>
          <w:p>
            <w:pPr>
              <w:pStyle w:val="18"/>
              <w:bidi w:val="0"/>
              <w:rPr>
                <w:rFonts w:hint="default"/>
              </w:rPr>
            </w:pPr>
            <w:r>
              <w:rPr>
                <w:rFonts w:hint="default"/>
                <w:lang w:val="en-US" w:eastAsia="zh-CN"/>
              </w:rPr>
              <w:t>100.00%</w:t>
            </w:r>
          </w:p>
        </w:tc>
        <w:tc>
          <w:tcPr>
            <w:tcW w:w="263" w:type="pct"/>
            <w:shd w:val="clear" w:color="auto" w:fill="auto"/>
            <w:vAlign w:val="center"/>
          </w:tcPr>
          <w:p>
            <w:pPr>
              <w:pStyle w:val="18"/>
              <w:bidi w:val="0"/>
              <w:rPr>
                <w:rFonts w:hint="default"/>
              </w:rPr>
            </w:pPr>
            <w:r>
              <w:rPr>
                <w:rFonts w:hint="default"/>
                <w:lang w:val="en-US" w:eastAsia="zh-CN"/>
              </w:rPr>
              <w:t>99.98</w:t>
            </w:r>
          </w:p>
        </w:tc>
        <w:tc>
          <w:tcPr>
            <w:tcW w:w="260" w:type="pct"/>
            <w:shd w:val="clear" w:color="auto" w:fill="auto"/>
            <w:vAlign w:val="center"/>
          </w:tcPr>
          <w:p>
            <w:pPr>
              <w:pStyle w:val="18"/>
              <w:bidi w:val="0"/>
              <w:rPr>
                <w:rFonts w:hint="eastAsia"/>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72" w:type="pct"/>
            <w:shd w:val="clear" w:color="auto" w:fill="auto"/>
            <w:vAlign w:val="center"/>
          </w:tcPr>
          <w:p>
            <w:pPr>
              <w:pStyle w:val="18"/>
              <w:bidi w:val="0"/>
              <w:rPr>
                <w:rFonts w:hint="default"/>
              </w:rPr>
            </w:pPr>
            <w:r>
              <w:rPr>
                <w:rFonts w:hint="default"/>
                <w:lang w:val="en-US" w:eastAsia="zh-CN"/>
              </w:rPr>
              <w:t>6</w:t>
            </w:r>
          </w:p>
        </w:tc>
        <w:tc>
          <w:tcPr>
            <w:tcW w:w="896" w:type="pct"/>
            <w:shd w:val="clear" w:color="auto" w:fill="auto"/>
            <w:vAlign w:val="center"/>
          </w:tcPr>
          <w:p>
            <w:pPr>
              <w:pStyle w:val="18"/>
              <w:bidi w:val="0"/>
              <w:rPr>
                <w:rFonts w:hint="eastAsia"/>
              </w:rPr>
            </w:pPr>
            <w:r>
              <w:rPr>
                <w:rFonts w:hint="eastAsia"/>
                <w:lang w:val="en-US" w:eastAsia="zh-CN"/>
              </w:rPr>
              <w:t>科协“四个服务”工作经费</w:t>
            </w:r>
          </w:p>
        </w:tc>
        <w:tc>
          <w:tcPr>
            <w:tcW w:w="564" w:type="pct"/>
            <w:shd w:val="clear" w:color="auto" w:fill="auto"/>
            <w:noWrap/>
            <w:vAlign w:val="center"/>
          </w:tcPr>
          <w:p>
            <w:pPr>
              <w:pStyle w:val="18"/>
              <w:bidi w:val="0"/>
              <w:rPr>
                <w:rFonts w:hint="default"/>
              </w:rPr>
            </w:pPr>
            <w:r>
              <w:rPr>
                <w:rFonts w:hint="default"/>
                <w:lang w:val="en-US" w:eastAsia="zh-CN"/>
              </w:rPr>
              <w:t>445.8</w:t>
            </w:r>
          </w:p>
        </w:tc>
        <w:tc>
          <w:tcPr>
            <w:tcW w:w="442" w:type="pct"/>
            <w:shd w:val="clear" w:color="auto" w:fill="auto"/>
            <w:noWrap/>
            <w:vAlign w:val="center"/>
          </w:tcPr>
          <w:p>
            <w:pPr>
              <w:pStyle w:val="18"/>
              <w:bidi w:val="0"/>
              <w:rPr>
                <w:rFonts w:hint="default"/>
              </w:rPr>
            </w:pPr>
            <w:r>
              <w:rPr>
                <w:rFonts w:hint="default"/>
                <w:lang w:val="en-US" w:eastAsia="zh-CN"/>
              </w:rPr>
              <w:t>445.8</w:t>
            </w:r>
          </w:p>
        </w:tc>
        <w:tc>
          <w:tcPr>
            <w:tcW w:w="437" w:type="pct"/>
            <w:shd w:val="clear" w:color="auto" w:fill="auto"/>
            <w:vAlign w:val="center"/>
          </w:tcPr>
          <w:p>
            <w:pPr>
              <w:pStyle w:val="18"/>
              <w:bidi w:val="0"/>
              <w:rPr>
                <w:rFonts w:hint="default"/>
              </w:rPr>
            </w:pPr>
            <w:r>
              <w:rPr>
                <w:rFonts w:hint="default"/>
                <w:lang w:val="en-US" w:eastAsia="zh-CN"/>
              </w:rPr>
              <w:t>100%</w:t>
            </w:r>
          </w:p>
        </w:tc>
        <w:tc>
          <w:tcPr>
            <w:tcW w:w="447" w:type="pct"/>
            <w:shd w:val="clear" w:color="auto" w:fill="auto"/>
            <w:vAlign w:val="center"/>
          </w:tcPr>
          <w:p>
            <w:pPr>
              <w:pStyle w:val="18"/>
              <w:bidi w:val="0"/>
              <w:rPr>
                <w:rFonts w:hint="default"/>
              </w:rPr>
            </w:pPr>
            <w:r>
              <w:rPr>
                <w:rFonts w:hint="default"/>
                <w:lang w:val="en-US" w:eastAsia="zh-CN"/>
              </w:rPr>
              <w:t>100%</w:t>
            </w:r>
          </w:p>
        </w:tc>
        <w:tc>
          <w:tcPr>
            <w:tcW w:w="385" w:type="pct"/>
            <w:shd w:val="clear" w:color="auto" w:fill="auto"/>
            <w:vAlign w:val="center"/>
          </w:tcPr>
          <w:p>
            <w:pPr>
              <w:pStyle w:val="18"/>
              <w:bidi w:val="0"/>
              <w:rPr>
                <w:rFonts w:hint="default"/>
              </w:rPr>
            </w:pPr>
            <w:r>
              <w:rPr>
                <w:rFonts w:hint="default"/>
                <w:lang w:val="en-US" w:eastAsia="zh-CN"/>
              </w:rPr>
              <w:t>/</w:t>
            </w:r>
          </w:p>
        </w:tc>
        <w:tc>
          <w:tcPr>
            <w:tcW w:w="409" w:type="pct"/>
            <w:shd w:val="clear" w:color="auto" w:fill="auto"/>
            <w:vAlign w:val="center"/>
          </w:tcPr>
          <w:p>
            <w:pPr>
              <w:pStyle w:val="18"/>
              <w:bidi w:val="0"/>
              <w:rPr>
                <w:rFonts w:hint="default"/>
              </w:rPr>
            </w:pPr>
            <w:r>
              <w:rPr>
                <w:rFonts w:hint="default"/>
                <w:lang w:val="en-US" w:eastAsia="zh-CN"/>
              </w:rPr>
              <w:t>95.05%</w:t>
            </w:r>
          </w:p>
        </w:tc>
        <w:tc>
          <w:tcPr>
            <w:tcW w:w="376" w:type="pct"/>
            <w:shd w:val="clear" w:color="auto" w:fill="auto"/>
            <w:vAlign w:val="center"/>
          </w:tcPr>
          <w:p>
            <w:pPr>
              <w:pStyle w:val="18"/>
              <w:bidi w:val="0"/>
              <w:rPr>
                <w:rFonts w:hint="default"/>
              </w:rPr>
            </w:pPr>
            <w:r>
              <w:rPr>
                <w:rFonts w:hint="default"/>
                <w:lang w:val="en-US" w:eastAsia="zh-CN"/>
              </w:rPr>
              <w:t>100%</w:t>
            </w:r>
          </w:p>
        </w:tc>
        <w:tc>
          <w:tcPr>
            <w:tcW w:w="343" w:type="pct"/>
            <w:shd w:val="clear" w:color="auto" w:fill="auto"/>
            <w:vAlign w:val="center"/>
          </w:tcPr>
          <w:p>
            <w:pPr>
              <w:pStyle w:val="18"/>
              <w:bidi w:val="0"/>
              <w:rPr>
                <w:rFonts w:hint="default"/>
              </w:rPr>
            </w:pPr>
            <w:r>
              <w:rPr>
                <w:rFonts w:hint="default"/>
                <w:lang w:val="en-US" w:eastAsia="zh-CN"/>
              </w:rPr>
              <w:t>100%</w:t>
            </w:r>
          </w:p>
        </w:tc>
        <w:tc>
          <w:tcPr>
            <w:tcW w:w="263" w:type="pct"/>
            <w:shd w:val="clear" w:color="auto" w:fill="auto"/>
            <w:vAlign w:val="center"/>
          </w:tcPr>
          <w:p>
            <w:pPr>
              <w:pStyle w:val="18"/>
              <w:bidi w:val="0"/>
              <w:rPr>
                <w:rFonts w:hint="default"/>
              </w:rPr>
            </w:pPr>
            <w:r>
              <w:rPr>
                <w:rFonts w:hint="default"/>
                <w:lang w:val="en-US" w:eastAsia="zh-CN"/>
              </w:rPr>
              <w:t>98.02</w:t>
            </w:r>
          </w:p>
        </w:tc>
        <w:tc>
          <w:tcPr>
            <w:tcW w:w="260" w:type="pct"/>
            <w:shd w:val="clear" w:color="auto" w:fill="auto"/>
            <w:vAlign w:val="center"/>
          </w:tcPr>
          <w:p>
            <w:pPr>
              <w:pStyle w:val="18"/>
              <w:bidi w:val="0"/>
              <w:rPr>
                <w:rFonts w:hint="eastAsia"/>
              </w:rPr>
            </w:pP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72" w:type="pct"/>
            <w:shd w:val="clear" w:color="auto" w:fill="auto"/>
            <w:vAlign w:val="center"/>
          </w:tcPr>
          <w:p>
            <w:pPr>
              <w:pStyle w:val="18"/>
              <w:bidi w:val="0"/>
              <w:rPr>
                <w:rFonts w:hint="default"/>
              </w:rPr>
            </w:pPr>
            <w:r>
              <w:rPr>
                <w:rFonts w:hint="default"/>
                <w:lang w:val="en-US" w:eastAsia="zh-CN"/>
              </w:rPr>
              <w:t>7</w:t>
            </w:r>
          </w:p>
        </w:tc>
        <w:tc>
          <w:tcPr>
            <w:tcW w:w="896" w:type="pct"/>
            <w:shd w:val="clear" w:color="auto" w:fill="auto"/>
            <w:vAlign w:val="center"/>
          </w:tcPr>
          <w:p>
            <w:pPr>
              <w:pStyle w:val="18"/>
              <w:bidi w:val="0"/>
              <w:rPr>
                <w:rFonts w:hint="eastAsia"/>
              </w:rPr>
            </w:pPr>
            <w:r>
              <w:rPr>
                <w:rFonts w:hint="eastAsia"/>
                <w:lang w:val="en-US" w:eastAsia="zh-CN"/>
              </w:rPr>
              <w:t>科普与学会服务能力提升专项-省级</w:t>
            </w:r>
          </w:p>
        </w:tc>
        <w:tc>
          <w:tcPr>
            <w:tcW w:w="564" w:type="pct"/>
            <w:shd w:val="clear" w:color="auto" w:fill="auto"/>
            <w:noWrap/>
            <w:vAlign w:val="center"/>
          </w:tcPr>
          <w:p>
            <w:pPr>
              <w:pStyle w:val="18"/>
              <w:bidi w:val="0"/>
              <w:rPr>
                <w:rFonts w:hint="default"/>
              </w:rPr>
            </w:pPr>
            <w:r>
              <w:rPr>
                <w:rFonts w:hint="default"/>
                <w:lang w:val="en-US" w:eastAsia="zh-CN"/>
              </w:rPr>
              <w:t>2691</w:t>
            </w:r>
          </w:p>
        </w:tc>
        <w:tc>
          <w:tcPr>
            <w:tcW w:w="442" w:type="pct"/>
            <w:shd w:val="clear" w:color="auto" w:fill="auto"/>
            <w:noWrap/>
            <w:vAlign w:val="center"/>
          </w:tcPr>
          <w:p>
            <w:pPr>
              <w:pStyle w:val="18"/>
              <w:bidi w:val="0"/>
              <w:rPr>
                <w:rFonts w:hint="default"/>
              </w:rPr>
            </w:pPr>
            <w:r>
              <w:rPr>
                <w:rFonts w:hint="default"/>
                <w:lang w:val="en-US" w:eastAsia="zh-CN"/>
              </w:rPr>
              <w:t>2071.67</w:t>
            </w:r>
          </w:p>
        </w:tc>
        <w:tc>
          <w:tcPr>
            <w:tcW w:w="437" w:type="pct"/>
            <w:shd w:val="clear" w:color="auto" w:fill="auto"/>
            <w:noWrap/>
            <w:vAlign w:val="center"/>
          </w:tcPr>
          <w:p>
            <w:pPr>
              <w:pStyle w:val="18"/>
              <w:bidi w:val="0"/>
              <w:rPr>
                <w:rFonts w:hint="default"/>
              </w:rPr>
            </w:pPr>
            <w:r>
              <w:rPr>
                <w:rFonts w:hint="default"/>
                <w:lang w:val="en-US" w:eastAsia="zh-CN"/>
              </w:rPr>
              <w:t>76.99%</w:t>
            </w:r>
          </w:p>
        </w:tc>
        <w:tc>
          <w:tcPr>
            <w:tcW w:w="447" w:type="pct"/>
            <w:shd w:val="clear" w:color="auto" w:fill="auto"/>
            <w:vAlign w:val="center"/>
          </w:tcPr>
          <w:p>
            <w:pPr>
              <w:pStyle w:val="18"/>
              <w:bidi w:val="0"/>
              <w:rPr>
                <w:rFonts w:hint="default"/>
              </w:rPr>
            </w:pPr>
            <w:r>
              <w:rPr>
                <w:rFonts w:hint="default"/>
                <w:lang w:val="en-US" w:eastAsia="zh-CN"/>
              </w:rPr>
              <w:t>100%</w:t>
            </w:r>
          </w:p>
        </w:tc>
        <w:tc>
          <w:tcPr>
            <w:tcW w:w="385" w:type="pct"/>
            <w:shd w:val="clear" w:color="auto" w:fill="auto"/>
            <w:vAlign w:val="center"/>
          </w:tcPr>
          <w:p>
            <w:pPr>
              <w:pStyle w:val="18"/>
              <w:bidi w:val="0"/>
              <w:rPr>
                <w:rFonts w:hint="default"/>
              </w:rPr>
            </w:pPr>
            <w:r>
              <w:rPr>
                <w:rFonts w:hint="default"/>
                <w:lang w:val="en-US" w:eastAsia="zh-CN"/>
              </w:rPr>
              <w:t>/</w:t>
            </w:r>
          </w:p>
        </w:tc>
        <w:tc>
          <w:tcPr>
            <w:tcW w:w="409" w:type="pct"/>
            <w:shd w:val="clear" w:color="auto" w:fill="auto"/>
            <w:vAlign w:val="center"/>
          </w:tcPr>
          <w:p>
            <w:pPr>
              <w:pStyle w:val="18"/>
              <w:bidi w:val="0"/>
              <w:rPr>
                <w:rFonts w:hint="default"/>
              </w:rPr>
            </w:pPr>
            <w:r>
              <w:rPr>
                <w:rFonts w:hint="default"/>
                <w:lang w:val="en-US" w:eastAsia="zh-CN"/>
              </w:rPr>
              <w:t>96.55%</w:t>
            </w:r>
          </w:p>
        </w:tc>
        <w:tc>
          <w:tcPr>
            <w:tcW w:w="376" w:type="pct"/>
            <w:shd w:val="clear" w:color="auto" w:fill="auto"/>
            <w:vAlign w:val="center"/>
          </w:tcPr>
          <w:p>
            <w:pPr>
              <w:pStyle w:val="18"/>
              <w:bidi w:val="0"/>
              <w:rPr>
                <w:rFonts w:hint="default"/>
              </w:rPr>
            </w:pPr>
            <w:r>
              <w:rPr>
                <w:rFonts w:hint="default"/>
                <w:lang w:val="en-US" w:eastAsia="zh-CN"/>
              </w:rPr>
              <w:t>100%</w:t>
            </w:r>
          </w:p>
        </w:tc>
        <w:tc>
          <w:tcPr>
            <w:tcW w:w="343" w:type="pct"/>
            <w:shd w:val="clear" w:color="auto" w:fill="auto"/>
            <w:vAlign w:val="center"/>
          </w:tcPr>
          <w:p>
            <w:pPr>
              <w:pStyle w:val="18"/>
              <w:bidi w:val="0"/>
              <w:rPr>
                <w:rFonts w:hint="default"/>
              </w:rPr>
            </w:pPr>
            <w:r>
              <w:rPr>
                <w:rFonts w:hint="default"/>
                <w:lang w:val="en-US" w:eastAsia="zh-CN"/>
              </w:rPr>
              <w:t>100%</w:t>
            </w:r>
          </w:p>
        </w:tc>
        <w:tc>
          <w:tcPr>
            <w:tcW w:w="263" w:type="pct"/>
            <w:shd w:val="clear" w:color="auto" w:fill="auto"/>
            <w:noWrap/>
            <w:vAlign w:val="center"/>
          </w:tcPr>
          <w:p>
            <w:pPr>
              <w:pStyle w:val="18"/>
              <w:bidi w:val="0"/>
              <w:rPr>
                <w:rFonts w:hint="default"/>
              </w:rPr>
            </w:pPr>
            <w:r>
              <w:rPr>
                <w:rFonts w:hint="default"/>
                <w:lang w:val="en-US" w:eastAsia="zh-CN"/>
              </w:rPr>
              <w:t>96.32</w:t>
            </w:r>
          </w:p>
        </w:tc>
        <w:tc>
          <w:tcPr>
            <w:tcW w:w="260" w:type="pct"/>
            <w:shd w:val="clear" w:color="auto" w:fill="auto"/>
            <w:vAlign w:val="center"/>
          </w:tcPr>
          <w:p>
            <w:pPr>
              <w:pStyle w:val="18"/>
              <w:bidi w:val="0"/>
              <w:rPr>
                <w:rFonts w:hint="eastAsia"/>
              </w:rPr>
            </w:pP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72" w:type="pct"/>
            <w:shd w:val="clear" w:color="auto" w:fill="auto"/>
            <w:vAlign w:val="center"/>
          </w:tcPr>
          <w:p>
            <w:pPr>
              <w:pStyle w:val="18"/>
              <w:bidi w:val="0"/>
              <w:rPr>
                <w:rFonts w:hint="default"/>
              </w:rPr>
            </w:pPr>
            <w:r>
              <w:rPr>
                <w:rFonts w:hint="default"/>
                <w:lang w:val="en-US" w:eastAsia="zh-CN"/>
              </w:rPr>
              <w:t>8</w:t>
            </w:r>
          </w:p>
        </w:tc>
        <w:tc>
          <w:tcPr>
            <w:tcW w:w="896" w:type="pct"/>
            <w:shd w:val="clear" w:color="auto" w:fill="auto"/>
            <w:noWrap/>
            <w:vAlign w:val="center"/>
          </w:tcPr>
          <w:p>
            <w:pPr>
              <w:pStyle w:val="18"/>
              <w:bidi w:val="0"/>
              <w:rPr>
                <w:rFonts w:hint="eastAsia"/>
              </w:rPr>
            </w:pPr>
            <w:r>
              <w:rPr>
                <w:rFonts w:hint="eastAsia"/>
                <w:lang w:val="en-US" w:eastAsia="zh-CN"/>
              </w:rPr>
              <w:t>设备购置</w:t>
            </w:r>
          </w:p>
        </w:tc>
        <w:tc>
          <w:tcPr>
            <w:tcW w:w="564" w:type="pct"/>
            <w:shd w:val="clear" w:color="auto" w:fill="auto"/>
            <w:noWrap/>
            <w:vAlign w:val="center"/>
          </w:tcPr>
          <w:p>
            <w:pPr>
              <w:pStyle w:val="18"/>
              <w:bidi w:val="0"/>
              <w:rPr>
                <w:rFonts w:hint="default"/>
              </w:rPr>
            </w:pPr>
            <w:r>
              <w:rPr>
                <w:rFonts w:hint="default"/>
                <w:lang w:val="en-US" w:eastAsia="zh-CN"/>
              </w:rPr>
              <w:t>23.56</w:t>
            </w:r>
          </w:p>
        </w:tc>
        <w:tc>
          <w:tcPr>
            <w:tcW w:w="442" w:type="pct"/>
            <w:shd w:val="clear" w:color="auto" w:fill="auto"/>
            <w:noWrap/>
            <w:vAlign w:val="center"/>
          </w:tcPr>
          <w:p>
            <w:pPr>
              <w:pStyle w:val="18"/>
              <w:bidi w:val="0"/>
              <w:rPr>
                <w:rFonts w:hint="default"/>
              </w:rPr>
            </w:pPr>
            <w:r>
              <w:rPr>
                <w:rFonts w:hint="default"/>
                <w:lang w:val="en-US" w:eastAsia="zh-CN"/>
              </w:rPr>
              <w:t>23.55</w:t>
            </w:r>
          </w:p>
        </w:tc>
        <w:tc>
          <w:tcPr>
            <w:tcW w:w="437" w:type="pct"/>
            <w:shd w:val="clear" w:color="auto" w:fill="auto"/>
            <w:noWrap/>
            <w:vAlign w:val="center"/>
          </w:tcPr>
          <w:p>
            <w:pPr>
              <w:pStyle w:val="18"/>
              <w:bidi w:val="0"/>
              <w:rPr>
                <w:rFonts w:hint="default"/>
              </w:rPr>
            </w:pPr>
            <w:r>
              <w:rPr>
                <w:rFonts w:hint="default"/>
                <w:lang w:val="en-US" w:eastAsia="zh-CN"/>
              </w:rPr>
              <w:t>99.96%</w:t>
            </w:r>
          </w:p>
        </w:tc>
        <w:tc>
          <w:tcPr>
            <w:tcW w:w="447" w:type="pct"/>
            <w:shd w:val="clear" w:color="auto" w:fill="auto"/>
            <w:vAlign w:val="center"/>
          </w:tcPr>
          <w:p>
            <w:pPr>
              <w:pStyle w:val="18"/>
              <w:bidi w:val="0"/>
              <w:rPr>
                <w:rFonts w:hint="default"/>
              </w:rPr>
            </w:pPr>
            <w:r>
              <w:rPr>
                <w:rFonts w:hint="default"/>
                <w:lang w:val="en-US" w:eastAsia="zh-CN"/>
              </w:rPr>
              <w:t>100%</w:t>
            </w:r>
          </w:p>
        </w:tc>
        <w:tc>
          <w:tcPr>
            <w:tcW w:w="385" w:type="pct"/>
            <w:shd w:val="clear" w:color="auto" w:fill="auto"/>
            <w:vAlign w:val="center"/>
          </w:tcPr>
          <w:p>
            <w:pPr>
              <w:pStyle w:val="18"/>
              <w:bidi w:val="0"/>
              <w:rPr>
                <w:rFonts w:hint="default"/>
              </w:rPr>
            </w:pPr>
            <w:r>
              <w:rPr>
                <w:rFonts w:hint="default"/>
                <w:lang w:val="en-US" w:eastAsia="zh-CN"/>
              </w:rPr>
              <w:t>/</w:t>
            </w:r>
          </w:p>
        </w:tc>
        <w:tc>
          <w:tcPr>
            <w:tcW w:w="409" w:type="pct"/>
            <w:shd w:val="clear" w:color="auto" w:fill="auto"/>
            <w:vAlign w:val="center"/>
          </w:tcPr>
          <w:p>
            <w:pPr>
              <w:pStyle w:val="18"/>
              <w:bidi w:val="0"/>
              <w:rPr>
                <w:rFonts w:hint="default"/>
              </w:rPr>
            </w:pPr>
            <w:r>
              <w:rPr>
                <w:rFonts w:hint="default"/>
                <w:lang w:val="en-US" w:eastAsia="zh-CN"/>
              </w:rPr>
              <w:t>90%</w:t>
            </w:r>
          </w:p>
        </w:tc>
        <w:tc>
          <w:tcPr>
            <w:tcW w:w="376" w:type="pct"/>
            <w:shd w:val="clear" w:color="auto" w:fill="auto"/>
            <w:vAlign w:val="center"/>
          </w:tcPr>
          <w:p>
            <w:pPr>
              <w:pStyle w:val="18"/>
              <w:bidi w:val="0"/>
              <w:rPr>
                <w:rFonts w:hint="default"/>
              </w:rPr>
            </w:pPr>
            <w:r>
              <w:rPr>
                <w:rFonts w:hint="default"/>
                <w:lang w:val="en-US" w:eastAsia="zh-CN"/>
              </w:rPr>
              <w:t>100%</w:t>
            </w:r>
          </w:p>
        </w:tc>
        <w:tc>
          <w:tcPr>
            <w:tcW w:w="343" w:type="pct"/>
            <w:shd w:val="clear" w:color="auto" w:fill="auto"/>
            <w:vAlign w:val="center"/>
          </w:tcPr>
          <w:p>
            <w:pPr>
              <w:pStyle w:val="18"/>
              <w:bidi w:val="0"/>
              <w:rPr>
                <w:rFonts w:hint="default"/>
              </w:rPr>
            </w:pPr>
            <w:r>
              <w:rPr>
                <w:rFonts w:hint="default"/>
                <w:lang w:val="en-US" w:eastAsia="zh-CN"/>
              </w:rPr>
              <w:t>100%</w:t>
            </w:r>
          </w:p>
        </w:tc>
        <w:tc>
          <w:tcPr>
            <w:tcW w:w="263" w:type="pct"/>
            <w:shd w:val="clear" w:color="auto" w:fill="auto"/>
            <w:noWrap/>
            <w:vAlign w:val="center"/>
          </w:tcPr>
          <w:p>
            <w:pPr>
              <w:pStyle w:val="18"/>
              <w:bidi w:val="0"/>
              <w:rPr>
                <w:rFonts w:hint="default"/>
              </w:rPr>
            </w:pPr>
            <w:r>
              <w:rPr>
                <w:rFonts w:hint="default"/>
                <w:lang w:val="en-US" w:eastAsia="zh-CN"/>
              </w:rPr>
              <w:t>96</w:t>
            </w:r>
          </w:p>
        </w:tc>
        <w:tc>
          <w:tcPr>
            <w:tcW w:w="260" w:type="pct"/>
            <w:shd w:val="clear" w:color="auto" w:fill="auto"/>
            <w:noWrap/>
            <w:vAlign w:val="center"/>
          </w:tcPr>
          <w:p>
            <w:pPr>
              <w:pStyle w:val="18"/>
              <w:bidi w:val="0"/>
              <w:rPr>
                <w:rFonts w:hint="eastAsia"/>
              </w:rPr>
            </w:pP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72" w:type="pct"/>
            <w:shd w:val="clear" w:color="auto" w:fill="auto"/>
            <w:vAlign w:val="center"/>
          </w:tcPr>
          <w:p>
            <w:pPr>
              <w:pStyle w:val="18"/>
              <w:bidi w:val="0"/>
              <w:rPr>
                <w:rFonts w:hint="default"/>
              </w:rPr>
            </w:pPr>
            <w:r>
              <w:rPr>
                <w:rFonts w:hint="default"/>
                <w:lang w:val="en-US" w:eastAsia="zh-CN"/>
              </w:rPr>
              <w:t>9</w:t>
            </w:r>
          </w:p>
        </w:tc>
        <w:tc>
          <w:tcPr>
            <w:tcW w:w="896" w:type="pct"/>
            <w:shd w:val="clear" w:color="auto" w:fill="auto"/>
            <w:noWrap/>
            <w:vAlign w:val="center"/>
          </w:tcPr>
          <w:p>
            <w:pPr>
              <w:pStyle w:val="18"/>
              <w:bidi w:val="0"/>
              <w:rPr>
                <w:rFonts w:hint="eastAsia"/>
              </w:rPr>
            </w:pPr>
            <w:r>
              <w:rPr>
                <w:rFonts w:hint="eastAsia"/>
                <w:lang w:val="en-US" w:eastAsia="zh-CN"/>
              </w:rPr>
              <w:t>知识产权事业发展</w:t>
            </w:r>
          </w:p>
        </w:tc>
        <w:tc>
          <w:tcPr>
            <w:tcW w:w="564" w:type="pct"/>
            <w:shd w:val="clear" w:color="auto" w:fill="auto"/>
            <w:noWrap/>
            <w:vAlign w:val="center"/>
          </w:tcPr>
          <w:p>
            <w:pPr>
              <w:pStyle w:val="18"/>
              <w:bidi w:val="0"/>
              <w:rPr>
                <w:rFonts w:hint="default"/>
              </w:rPr>
            </w:pPr>
            <w:r>
              <w:rPr>
                <w:rFonts w:hint="default"/>
                <w:lang w:val="en-US" w:eastAsia="zh-CN"/>
              </w:rPr>
              <w:t>20</w:t>
            </w:r>
          </w:p>
        </w:tc>
        <w:tc>
          <w:tcPr>
            <w:tcW w:w="442" w:type="pct"/>
            <w:shd w:val="clear" w:color="auto" w:fill="auto"/>
            <w:vAlign w:val="center"/>
          </w:tcPr>
          <w:p>
            <w:pPr>
              <w:pStyle w:val="18"/>
              <w:bidi w:val="0"/>
              <w:rPr>
                <w:rFonts w:hint="default"/>
              </w:rPr>
            </w:pPr>
            <w:r>
              <w:rPr>
                <w:rFonts w:hint="default"/>
                <w:lang w:val="en-US" w:eastAsia="zh-CN"/>
              </w:rPr>
              <w:t>0</w:t>
            </w:r>
          </w:p>
        </w:tc>
        <w:tc>
          <w:tcPr>
            <w:tcW w:w="437" w:type="pct"/>
            <w:shd w:val="clear" w:color="auto" w:fill="auto"/>
            <w:vAlign w:val="center"/>
          </w:tcPr>
          <w:p>
            <w:pPr>
              <w:pStyle w:val="18"/>
              <w:bidi w:val="0"/>
              <w:rPr>
                <w:rFonts w:hint="default"/>
              </w:rPr>
            </w:pPr>
            <w:r>
              <w:rPr>
                <w:rFonts w:hint="default"/>
                <w:lang w:val="en-US" w:eastAsia="zh-CN"/>
              </w:rPr>
              <w:t>0</w:t>
            </w:r>
          </w:p>
        </w:tc>
        <w:tc>
          <w:tcPr>
            <w:tcW w:w="447" w:type="pct"/>
            <w:shd w:val="clear" w:color="auto" w:fill="auto"/>
            <w:vAlign w:val="center"/>
          </w:tcPr>
          <w:p>
            <w:pPr>
              <w:pStyle w:val="18"/>
              <w:bidi w:val="0"/>
              <w:rPr>
                <w:rFonts w:hint="default"/>
              </w:rPr>
            </w:pPr>
            <w:r>
              <w:rPr>
                <w:rFonts w:hint="default"/>
                <w:lang w:val="en-US" w:eastAsia="zh-CN"/>
              </w:rPr>
              <w:t>100%</w:t>
            </w:r>
          </w:p>
        </w:tc>
        <w:tc>
          <w:tcPr>
            <w:tcW w:w="385" w:type="pct"/>
            <w:shd w:val="clear" w:color="auto" w:fill="auto"/>
            <w:vAlign w:val="center"/>
          </w:tcPr>
          <w:p>
            <w:pPr>
              <w:pStyle w:val="18"/>
              <w:bidi w:val="0"/>
              <w:rPr>
                <w:rFonts w:hint="default"/>
              </w:rPr>
            </w:pPr>
            <w:r>
              <w:rPr>
                <w:rFonts w:hint="default"/>
                <w:lang w:val="en-US" w:eastAsia="zh-CN"/>
              </w:rPr>
              <w:t>/</w:t>
            </w:r>
          </w:p>
        </w:tc>
        <w:tc>
          <w:tcPr>
            <w:tcW w:w="409" w:type="pct"/>
            <w:shd w:val="clear" w:color="auto" w:fill="auto"/>
            <w:vAlign w:val="center"/>
          </w:tcPr>
          <w:p>
            <w:pPr>
              <w:pStyle w:val="18"/>
              <w:bidi w:val="0"/>
              <w:rPr>
                <w:rFonts w:hint="default"/>
              </w:rPr>
            </w:pPr>
            <w:r>
              <w:rPr>
                <w:rFonts w:hint="default"/>
                <w:lang w:val="en-US" w:eastAsia="zh-CN"/>
              </w:rPr>
              <w:t>0%</w:t>
            </w:r>
          </w:p>
        </w:tc>
        <w:tc>
          <w:tcPr>
            <w:tcW w:w="376" w:type="pct"/>
            <w:shd w:val="clear" w:color="auto" w:fill="auto"/>
            <w:vAlign w:val="center"/>
          </w:tcPr>
          <w:p>
            <w:pPr>
              <w:pStyle w:val="18"/>
              <w:bidi w:val="0"/>
              <w:rPr>
                <w:rFonts w:hint="default"/>
              </w:rPr>
            </w:pPr>
            <w:r>
              <w:rPr>
                <w:rFonts w:hint="default"/>
                <w:lang w:val="en-US" w:eastAsia="zh-CN"/>
              </w:rPr>
              <w:t>0%</w:t>
            </w:r>
          </w:p>
        </w:tc>
        <w:tc>
          <w:tcPr>
            <w:tcW w:w="343" w:type="pct"/>
            <w:shd w:val="clear" w:color="auto" w:fill="auto"/>
            <w:vAlign w:val="center"/>
          </w:tcPr>
          <w:p>
            <w:pPr>
              <w:pStyle w:val="18"/>
              <w:bidi w:val="0"/>
              <w:rPr>
                <w:rFonts w:hint="default"/>
              </w:rPr>
            </w:pPr>
            <w:r>
              <w:rPr>
                <w:rFonts w:hint="default"/>
                <w:lang w:val="en-US" w:eastAsia="zh-CN"/>
              </w:rPr>
              <w:t>0%</w:t>
            </w:r>
          </w:p>
        </w:tc>
        <w:tc>
          <w:tcPr>
            <w:tcW w:w="263" w:type="pct"/>
            <w:shd w:val="clear" w:color="auto" w:fill="auto"/>
            <w:vAlign w:val="center"/>
          </w:tcPr>
          <w:p>
            <w:pPr>
              <w:pStyle w:val="18"/>
              <w:bidi w:val="0"/>
              <w:rPr>
                <w:rFonts w:hint="default"/>
              </w:rPr>
            </w:pPr>
            <w:r>
              <w:rPr>
                <w:rFonts w:hint="default"/>
                <w:lang w:val="en-US" w:eastAsia="zh-CN"/>
              </w:rPr>
              <w:t>20</w:t>
            </w:r>
          </w:p>
        </w:tc>
        <w:tc>
          <w:tcPr>
            <w:tcW w:w="260" w:type="pct"/>
            <w:shd w:val="clear" w:color="auto" w:fill="auto"/>
            <w:noWrap/>
            <w:vAlign w:val="center"/>
          </w:tcPr>
          <w:p>
            <w:pPr>
              <w:pStyle w:val="18"/>
              <w:bidi w:val="0"/>
              <w:rPr>
                <w:rFonts w:hint="eastAsia"/>
              </w:rPr>
            </w:pP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72" w:type="pct"/>
            <w:shd w:val="clear" w:color="auto" w:fill="auto"/>
            <w:vAlign w:val="center"/>
          </w:tcPr>
          <w:p>
            <w:pPr>
              <w:pStyle w:val="18"/>
              <w:bidi w:val="0"/>
              <w:rPr>
                <w:rFonts w:hint="default"/>
              </w:rPr>
            </w:pPr>
            <w:r>
              <w:rPr>
                <w:rFonts w:hint="default"/>
                <w:lang w:val="en-US" w:eastAsia="zh-CN"/>
              </w:rPr>
              <w:t>10</w:t>
            </w:r>
          </w:p>
        </w:tc>
        <w:tc>
          <w:tcPr>
            <w:tcW w:w="896" w:type="pct"/>
            <w:shd w:val="clear" w:color="auto" w:fill="auto"/>
            <w:noWrap/>
            <w:vAlign w:val="center"/>
          </w:tcPr>
          <w:p>
            <w:pPr>
              <w:pStyle w:val="18"/>
              <w:bidi w:val="0"/>
              <w:rPr>
                <w:rFonts w:hint="eastAsia"/>
              </w:rPr>
            </w:pPr>
            <w:r>
              <w:rPr>
                <w:rFonts w:hint="eastAsia"/>
                <w:lang w:val="en-US" w:eastAsia="zh-CN"/>
              </w:rPr>
              <w:t>培训-科协事业</w:t>
            </w:r>
          </w:p>
        </w:tc>
        <w:tc>
          <w:tcPr>
            <w:tcW w:w="564" w:type="pct"/>
            <w:shd w:val="clear" w:color="auto" w:fill="auto"/>
            <w:noWrap/>
            <w:vAlign w:val="center"/>
          </w:tcPr>
          <w:p>
            <w:pPr>
              <w:pStyle w:val="18"/>
              <w:bidi w:val="0"/>
              <w:rPr>
                <w:rFonts w:hint="default"/>
              </w:rPr>
            </w:pPr>
            <w:r>
              <w:rPr>
                <w:rFonts w:hint="default"/>
                <w:lang w:val="en-US" w:eastAsia="zh-CN"/>
              </w:rPr>
              <w:t>25</w:t>
            </w:r>
          </w:p>
        </w:tc>
        <w:tc>
          <w:tcPr>
            <w:tcW w:w="442" w:type="pct"/>
            <w:shd w:val="clear" w:color="auto" w:fill="auto"/>
            <w:noWrap/>
            <w:vAlign w:val="center"/>
          </w:tcPr>
          <w:p>
            <w:pPr>
              <w:pStyle w:val="18"/>
              <w:bidi w:val="0"/>
              <w:rPr>
                <w:rFonts w:hint="default"/>
              </w:rPr>
            </w:pPr>
            <w:r>
              <w:rPr>
                <w:rFonts w:hint="default"/>
                <w:lang w:val="en-US" w:eastAsia="zh-CN"/>
              </w:rPr>
              <w:t>24.94</w:t>
            </w:r>
          </w:p>
        </w:tc>
        <w:tc>
          <w:tcPr>
            <w:tcW w:w="437" w:type="pct"/>
            <w:shd w:val="clear" w:color="auto" w:fill="auto"/>
            <w:noWrap/>
            <w:vAlign w:val="center"/>
          </w:tcPr>
          <w:p>
            <w:pPr>
              <w:pStyle w:val="18"/>
              <w:bidi w:val="0"/>
              <w:rPr>
                <w:rFonts w:hint="default"/>
              </w:rPr>
            </w:pPr>
            <w:r>
              <w:rPr>
                <w:rFonts w:hint="default"/>
                <w:lang w:val="en-US" w:eastAsia="zh-CN"/>
              </w:rPr>
              <w:t>99.76%</w:t>
            </w:r>
          </w:p>
        </w:tc>
        <w:tc>
          <w:tcPr>
            <w:tcW w:w="447" w:type="pct"/>
            <w:shd w:val="clear" w:color="auto" w:fill="auto"/>
            <w:vAlign w:val="center"/>
          </w:tcPr>
          <w:p>
            <w:pPr>
              <w:pStyle w:val="18"/>
              <w:bidi w:val="0"/>
              <w:rPr>
                <w:rFonts w:hint="default"/>
              </w:rPr>
            </w:pPr>
            <w:r>
              <w:rPr>
                <w:rFonts w:hint="default"/>
                <w:lang w:val="en-US" w:eastAsia="zh-CN"/>
              </w:rPr>
              <w:t>100%</w:t>
            </w:r>
          </w:p>
        </w:tc>
        <w:tc>
          <w:tcPr>
            <w:tcW w:w="385" w:type="pct"/>
            <w:shd w:val="clear" w:color="auto" w:fill="auto"/>
            <w:noWrap/>
            <w:vAlign w:val="center"/>
          </w:tcPr>
          <w:p>
            <w:pPr>
              <w:pStyle w:val="18"/>
              <w:bidi w:val="0"/>
              <w:rPr>
                <w:rFonts w:hint="default"/>
              </w:rPr>
            </w:pPr>
            <w:r>
              <w:rPr>
                <w:rFonts w:hint="default"/>
                <w:lang w:val="en-US" w:eastAsia="zh-CN"/>
              </w:rPr>
              <w:t>/</w:t>
            </w:r>
          </w:p>
        </w:tc>
        <w:tc>
          <w:tcPr>
            <w:tcW w:w="409" w:type="pct"/>
            <w:shd w:val="clear" w:color="auto" w:fill="auto"/>
            <w:noWrap/>
            <w:vAlign w:val="center"/>
          </w:tcPr>
          <w:p>
            <w:pPr>
              <w:pStyle w:val="18"/>
              <w:bidi w:val="0"/>
              <w:rPr>
                <w:rFonts w:hint="default"/>
              </w:rPr>
            </w:pPr>
            <w:r>
              <w:rPr>
                <w:rFonts w:hint="default"/>
                <w:lang w:val="en-US" w:eastAsia="zh-CN"/>
              </w:rPr>
              <w:t>100.00%</w:t>
            </w:r>
          </w:p>
        </w:tc>
        <w:tc>
          <w:tcPr>
            <w:tcW w:w="376" w:type="pct"/>
            <w:shd w:val="clear" w:color="auto" w:fill="auto"/>
            <w:vAlign w:val="center"/>
          </w:tcPr>
          <w:p>
            <w:pPr>
              <w:pStyle w:val="18"/>
              <w:bidi w:val="0"/>
              <w:rPr>
                <w:rFonts w:hint="default"/>
              </w:rPr>
            </w:pPr>
            <w:r>
              <w:rPr>
                <w:rFonts w:hint="default"/>
                <w:lang w:val="en-US" w:eastAsia="zh-CN"/>
              </w:rPr>
              <w:t>100%</w:t>
            </w:r>
          </w:p>
        </w:tc>
        <w:tc>
          <w:tcPr>
            <w:tcW w:w="343" w:type="pct"/>
            <w:shd w:val="clear" w:color="auto" w:fill="auto"/>
            <w:vAlign w:val="center"/>
          </w:tcPr>
          <w:p>
            <w:pPr>
              <w:pStyle w:val="18"/>
              <w:bidi w:val="0"/>
              <w:rPr>
                <w:rFonts w:hint="default"/>
              </w:rPr>
            </w:pPr>
            <w:r>
              <w:rPr>
                <w:rFonts w:hint="default"/>
                <w:lang w:val="en-US" w:eastAsia="zh-CN"/>
              </w:rPr>
              <w:t>100%</w:t>
            </w:r>
          </w:p>
        </w:tc>
        <w:tc>
          <w:tcPr>
            <w:tcW w:w="263" w:type="pct"/>
            <w:shd w:val="clear" w:color="auto" w:fill="auto"/>
            <w:noWrap/>
            <w:vAlign w:val="center"/>
          </w:tcPr>
          <w:p>
            <w:pPr>
              <w:pStyle w:val="18"/>
              <w:bidi w:val="0"/>
              <w:rPr>
                <w:rFonts w:hint="default"/>
              </w:rPr>
            </w:pPr>
            <w:r>
              <w:rPr>
                <w:rFonts w:hint="default"/>
                <w:lang w:val="en-US" w:eastAsia="zh-CN"/>
              </w:rPr>
              <w:t>99.98</w:t>
            </w:r>
          </w:p>
        </w:tc>
        <w:tc>
          <w:tcPr>
            <w:tcW w:w="260" w:type="pct"/>
            <w:shd w:val="clear" w:color="auto" w:fill="auto"/>
            <w:noWrap/>
            <w:vAlign w:val="center"/>
          </w:tcPr>
          <w:p>
            <w:pPr>
              <w:pStyle w:val="18"/>
              <w:bidi w:val="0"/>
              <w:rPr>
                <w:rFonts w:hint="eastAsia"/>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72" w:type="pct"/>
            <w:shd w:val="clear" w:color="auto" w:fill="auto"/>
            <w:vAlign w:val="center"/>
          </w:tcPr>
          <w:p>
            <w:pPr>
              <w:pStyle w:val="18"/>
              <w:bidi w:val="0"/>
              <w:rPr>
                <w:rFonts w:hint="default"/>
              </w:rPr>
            </w:pPr>
            <w:r>
              <w:rPr>
                <w:rFonts w:hint="default"/>
                <w:lang w:val="en-US" w:eastAsia="zh-CN"/>
              </w:rPr>
              <w:t>11</w:t>
            </w:r>
          </w:p>
        </w:tc>
        <w:tc>
          <w:tcPr>
            <w:tcW w:w="896" w:type="pct"/>
            <w:shd w:val="clear" w:color="auto" w:fill="auto"/>
            <w:noWrap/>
            <w:vAlign w:val="center"/>
          </w:tcPr>
          <w:p>
            <w:pPr>
              <w:pStyle w:val="18"/>
              <w:bidi w:val="0"/>
              <w:rPr>
                <w:rFonts w:hint="eastAsia"/>
              </w:rPr>
            </w:pPr>
            <w:r>
              <w:rPr>
                <w:rFonts w:hint="eastAsia"/>
                <w:lang w:val="en-US" w:eastAsia="zh-CN"/>
              </w:rPr>
              <w:t>办公环境整治及设施维护</w:t>
            </w:r>
          </w:p>
        </w:tc>
        <w:tc>
          <w:tcPr>
            <w:tcW w:w="564" w:type="pct"/>
            <w:shd w:val="clear" w:color="auto" w:fill="auto"/>
            <w:noWrap/>
            <w:vAlign w:val="center"/>
          </w:tcPr>
          <w:p>
            <w:pPr>
              <w:pStyle w:val="18"/>
              <w:bidi w:val="0"/>
              <w:rPr>
                <w:rFonts w:hint="default"/>
              </w:rPr>
            </w:pPr>
            <w:r>
              <w:rPr>
                <w:rFonts w:hint="default"/>
                <w:lang w:val="en-US" w:eastAsia="zh-CN"/>
              </w:rPr>
              <w:t>100</w:t>
            </w:r>
          </w:p>
        </w:tc>
        <w:tc>
          <w:tcPr>
            <w:tcW w:w="442" w:type="pct"/>
            <w:shd w:val="clear" w:color="auto" w:fill="auto"/>
            <w:noWrap/>
            <w:vAlign w:val="center"/>
          </w:tcPr>
          <w:p>
            <w:pPr>
              <w:pStyle w:val="18"/>
              <w:bidi w:val="0"/>
              <w:rPr>
                <w:rFonts w:hint="default"/>
              </w:rPr>
            </w:pPr>
            <w:r>
              <w:rPr>
                <w:rFonts w:hint="default"/>
                <w:lang w:val="en-US" w:eastAsia="zh-CN"/>
              </w:rPr>
              <w:t>100</w:t>
            </w:r>
          </w:p>
        </w:tc>
        <w:tc>
          <w:tcPr>
            <w:tcW w:w="437" w:type="pct"/>
            <w:shd w:val="clear" w:color="auto" w:fill="auto"/>
            <w:vAlign w:val="center"/>
          </w:tcPr>
          <w:p>
            <w:pPr>
              <w:pStyle w:val="18"/>
              <w:bidi w:val="0"/>
              <w:rPr>
                <w:rFonts w:hint="default"/>
              </w:rPr>
            </w:pPr>
            <w:r>
              <w:rPr>
                <w:rFonts w:hint="default"/>
                <w:lang w:val="en-US" w:eastAsia="zh-CN"/>
              </w:rPr>
              <w:t>100%</w:t>
            </w:r>
          </w:p>
        </w:tc>
        <w:tc>
          <w:tcPr>
            <w:tcW w:w="447" w:type="pct"/>
            <w:shd w:val="clear" w:color="auto" w:fill="auto"/>
            <w:vAlign w:val="center"/>
          </w:tcPr>
          <w:p>
            <w:pPr>
              <w:pStyle w:val="18"/>
              <w:bidi w:val="0"/>
              <w:rPr>
                <w:rFonts w:hint="default"/>
              </w:rPr>
            </w:pPr>
            <w:r>
              <w:rPr>
                <w:rFonts w:hint="default"/>
                <w:lang w:val="en-US" w:eastAsia="zh-CN"/>
              </w:rPr>
              <w:t>100%</w:t>
            </w:r>
          </w:p>
        </w:tc>
        <w:tc>
          <w:tcPr>
            <w:tcW w:w="385" w:type="pct"/>
            <w:shd w:val="clear" w:color="auto" w:fill="auto"/>
            <w:vAlign w:val="center"/>
          </w:tcPr>
          <w:p>
            <w:pPr>
              <w:pStyle w:val="18"/>
              <w:bidi w:val="0"/>
              <w:rPr>
                <w:rFonts w:hint="default"/>
              </w:rPr>
            </w:pPr>
            <w:r>
              <w:rPr>
                <w:rFonts w:hint="default"/>
                <w:lang w:val="en-US" w:eastAsia="zh-CN"/>
              </w:rPr>
              <w:t>/</w:t>
            </w:r>
          </w:p>
        </w:tc>
        <w:tc>
          <w:tcPr>
            <w:tcW w:w="409" w:type="pct"/>
            <w:shd w:val="clear" w:color="auto" w:fill="auto"/>
            <w:vAlign w:val="center"/>
          </w:tcPr>
          <w:p>
            <w:pPr>
              <w:pStyle w:val="18"/>
              <w:bidi w:val="0"/>
              <w:rPr>
                <w:rFonts w:hint="default"/>
              </w:rPr>
            </w:pPr>
            <w:r>
              <w:rPr>
                <w:rFonts w:hint="default"/>
                <w:lang w:val="en-US" w:eastAsia="zh-CN"/>
              </w:rPr>
              <w:t>92%</w:t>
            </w:r>
          </w:p>
        </w:tc>
        <w:tc>
          <w:tcPr>
            <w:tcW w:w="376" w:type="pct"/>
            <w:shd w:val="clear" w:color="auto" w:fill="auto"/>
            <w:vAlign w:val="center"/>
          </w:tcPr>
          <w:p>
            <w:pPr>
              <w:pStyle w:val="18"/>
              <w:bidi w:val="0"/>
              <w:rPr>
                <w:rFonts w:hint="default"/>
              </w:rPr>
            </w:pPr>
            <w:r>
              <w:rPr>
                <w:rFonts w:hint="default"/>
                <w:lang w:val="en-US" w:eastAsia="zh-CN"/>
              </w:rPr>
              <w:t>100%</w:t>
            </w:r>
          </w:p>
        </w:tc>
        <w:tc>
          <w:tcPr>
            <w:tcW w:w="343" w:type="pct"/>
            <w:shd w:val="clear" w:color="auto" w:fill="auto"/>
            <w:vAlign w:val="center"/>
          </w:tcPr>
          <w:p>
            <w:pPr>
              <w:pStyle w:val="18"/>
              <w:bidi w:val="0"/>
              <w:rPr>
                <w:rFonts w:hint="default"/>
              </w:rPr>
            </w:pPr>
            <w:r>
              <w:rPr>
                <w:rFonts w:hint="default"/>
                <w:lang w:val="en-US" w:eastAsia="zh-CN"/>
              </w:rPr>
              <w:t>100%</w:t>
            </w:r>
          </w:p>
        </w:tc>
        <w:tc>
          <w:tcPr>
            <w:tcW w:w="263" w:type="pct"/>
            <w:shd w:val="clear" w:color="auto" w:fill="auto"/>
            <w:noWrap/>
            <w:vAlign w:val="center"/>
          </w:tcPr>
          <w:p>
            <w:pPr>
              <w:pStyle w:val="18"/>
              <w:bidi w:val="0"/>
              <w:rPr>
                <w:rFonts w:hint="default"/>
              </w:rPr>
            </w:pPr>
            <w:r>
              <w:rPr>
                <w:rFonts w:hint="default"/>
                <w:lang w:val="en-US" w:eastAsia="zh-CN"/>
              </w:rPr>
              <w:t>96.8</w:t>
            </w:r>
          </w:p>
        </w:tc>
        <w:tc>
          <w:tcPr>
            <w:tcW w:w="260" w:type="pct"/>
            <w:shd w:val="clear" w:color="auto" w:fill="auto"/>
            <w:noWrap/>
            <w:vAlign w:val="center"/>
          </w:tcPr>
          <w:p>
            <w:pPr>
              <w:pStyle w:val="18"/>
              <w:bidi w:val="0"/>
              <w:rPr>
                <w:rFonts w:hint="eastAsia"/>
              </w:rPr>
            </w:pP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72" w:type="pct"/>
            <w:shd w:val="clear" w:color="auto" w:fill="auto"/>
            <w:vAlign w:val="center"/>
          </w:tcPr>
          <w:p>
            <w:pPr>
              <w:pStyle w:val="18"/>
              <w:bidi w:val="0"/>
              <w:rPr>
                <w:rFonts w:hint="default"/>
              </w:rPr>
            </w:pPr>
            <w:r>
              <w:rPr>
                <w:rFonts w:hint="default"/>
                <w:lang w:val="en-US" w:eastAsia="zh-CN"/>
              </w:rPr>
              <w:t>12</w:t>
            </w:r>
          </w:p>
        </w:tc>
        <w:tc>
          <w:tcPr>
            <w:tcW w:w="896" w:type="pct"/>
            <w:shd w:val="clear" w:color="auto" w:fill="auto"/>
            <w:noWrap/>
            <w:vAlign w:val="center"/>
          </w:tcPr>
          <w:p>
            <w:pPr>
              <w:pStyle w:val="18"/>
              <w:bidi w:val="0"/>
              <w:rPr>
                <w:rFonts w:hint="eastAsia"/>
              </w:rPr>
            </w:pPr>
            <w:r>
              <w:rPr>
                <w:rFonts w:hint="eastAsia"/>
                <w:lang w:val="en-US" w:eastAsia="zh-CN"/>
              </w:rPr>
              <w:t>中国工程科技发展战略河南研究院共建项目</w:t>
            </w:r>
          </w:p>
        </w:tc>
        <w:tc>
          <w:tcPr>
            <w:tcW w:w="564" w:type="pct"/>
            <w:shd w:val="clear" w:color="auto" w:fill="auto"/>
            <w:noWrap/>
            <w:vAlign w:val="center"/>
          </w:tcPr>
          <w:p>
            <w:pPr>
              <w:pStyle w:val="18"/>
              <w:bidi w:val="0"/>
              <w:rPr>
                <w:rFonts w:hint="default"/>
              </w:rPr>
            </w:pPr>
            <w:r>
              <w:rPr>
                <w:rFonts w:hint="default"/>
                <w:lang w:val="en-US" w:eastAsia="zh-CN"/>
              </w:rPr>
              <w:t>1000</w:t>
            </w:r>
          </w:p>
        </w:tc>
        <w:tc>
          <w:tcPr>
            <w:tcW w:w="442" w:type="pct"/>
            <w:shd w:val="clear" w:color="auto" w:fill="auto"/>
            <w:noWrap/>
            <w:vAlign w:val="center"/>
          </w:tcPr>
          <w:p>
            <w:pPr>
              <w:pStyle w:val="18"/>
              <w:bidi w:val="0"/>
              <w:rPr>
                <w:rFonts w:hint="default"/>
              </w:rPr>
            </w:pPr>
            <w:r>
              <w:rPr>
                <w:rFonts w:hint="default"/>
                <w:lang w:val="en-US" w:eastAsia="zh-CN"/>
              </w:rPr>
              <w:t>803.43</w:t>
            </w:r>
          </w:p>
        </w:tc>
        <w:tc>
          <w:tcPr>
            <w:tcW w:w="437" w:type="pct"/>
            <w:shd w:val="clear" w:color="auto" w:fill="auto"/>
            <w:noWrap/>
            <w:vAlign w:val="center"/>
          </w:tcPr>
          <w:p>
            <w:pPr>
              <w:pStyle w:val="18"/>
              <w:bidi w:val="0"/>
              <w:rPr>
                <w:rFonts w:hint="default"/>
              </w:rPr>
            </w:pPr>
            <w:r>
              <w:rPr>
                <w:rFonts w:hint="default"/>
                <w:lang w:val="en-US" w:eastAsia="zh-CN"/>
              </w:rPr>
              <w:t>80.34</w:t>
            </w:r>
          </w:p>
        </w:tc>
        <w:tc>
          <w:tcPr>
            <w:tcW w:w="447" w:type="pct"/>
            <w:shd w:val="clear" w:color="auto" w:fill="auto"/>
            <w:vAlign w:val="center"/>
          </w:tcPr>
          <w:p>
            <w:pPr>
              <w:pStyle w:val="18"/>
              <w:bidi w:val="0"/>
              <w:rPr>
                <w:rFonts w:hint="default"/>
              </w:rPr>
            </w:pPr>
            <w:r>
              <w:rPr>
                <w:rFonts w:hint="default"/>
                <w:lang w:val="en-US" w:eastAsia="zh-CN"/>
              </w:rPr>
              <w:t>100%</w:t>
            </w:r>
          </w:p>
        </w:tc>
        <w:tc>
          <w:tcPr>
            <w:tcW w:w="385" w:type="pct"/>
            <w:shd w:val="clear" w:color="auto" w:fill="auto"/>
            <w:noWrap/>
            <w:vAlign w:val="center"/>
          </w:tcPr>
          <w:p>
            <w:pPr>
              <w:pStyle w:val="18"/>
              <w:bidi w:val="0"/>
              <w:rPr>
                <w:rFonts w:hint="default"/>
              </w:rPr>
            </w:pPr>
            <w:r>
              <w:rPr>
                <w:rFonts w:hint="default"/>
                <w:lang w:val="en-US" w:eastAsia="zh-CN"/>
              </w:rPr>
              <w:t>/</w:t>
            </w:r>
          </w:p>
        </w:tc>
        <w:tc>
          <w:tcPr>
            <w:tcW w:w="409" w:type="pct"/>
            <w:shd w:val="clear" w:color="auto" w:fill="auto"/>
            <w:noWrap/>
            <w:vAlign w:val="center"/>
          </w:tcPr>
          <w:p>
            <w:pPr>
              <w:pStyle w:val="18"/>
              <w:bidi w:val="0"/>
              <w:rPr>
                <w:rFonts w:hint="default"/>
              </w:rPr>
            </w:pPr>
            <w:r>
              <w:rPr>
                <w:rFonts w:hint="default"/>
                <w:lang w:val="en-US" w:eastAsia="zh-CN"/>
              </w:rPr>
              <w:t>85%</w:t>
            </w:r>
          </w:p>
        </w:tc>
        <w:tc>
          <w:tcPr>
            <w:tcW w:w="376" w:type="pct"/>
            <w:shd w:val="clear" w:color="auto" w:fill="auto"/>
            <w:vAlign w:val="center"/>
          </w:tcPr>
          <w:p>
            <w:pPr>
              <w:pStyle w:val="18"/>
              <w:bidi w:val="0"/>
              <w:rPr>
                <w:rFonts w:hint="default"/>
              </w:rPr>
            </w:pPr>
            <w:r>
              <w:rPr>
                <w:rFonts w:hint="default"/>
                <w:lang w:val="en-US" w:eastAsia="zh-CN"/>
              </w:rPr>
              <w:t>100%</w:t>
            </w:r>
          </w:p>
        </w:tc>
        <w:tc>
          <w:tcPr>
            <w:tcW w:w="343" w:type="pct"/>
            <w:shd w:val="clear" w:color="auto" w:fill="auto"/>
            <w:vAlign w:val="center"/>
          </w:tcPr>
          <w:p>
            <w:pPr>
              <w:pStyle w:val="18"/>
              <w:bidi w:val="0"/>
              <w:rPr>
                <w:rFonts w:hint="default"/>
              </w:rPr>
            </w:pPr>
            <w:r>
              <w:rPr>
                <w:rFonts w:hint="default"/>
                <w:lang w:val="en-US" w:eastAsia="zh-CN"/>
              </w:rPr>
              <w:t>100%</w:t>
            </w:r>
          </w:p>
        </w:tc>
        <w:tc>
          <w:tcPr>
            <w:tcW w:w="263" w:type="pct"/>
            <w:shd w:val="clear" w:color="auto" w:fill="auto"/>
            <w:noWrap/>
            <w:vAlign w:val="center"/>
          </w:tcPr>
          <w:p>
            <w:pPr>
              <w:pStyle w:val="18"/>
              <w:bidi w:val="0"/>
              <w:rPr>
                <w:rFonts w:hint="default"/>
              </w:rPr>
            </w:pPr>
            <w:r>
              <w:rPr>
                <w:rFonts w:hint="default"/>
                <w:lang w:val="en-US" w:eastAsia="zh-CN"/>
              </w:rPr>
              <w:t>92.03</w:t>
            </w:r>
          </w:p>
        </w:tc>
        <w:tc>
          <w:tcPr>
            <w:tcW w:w="260" w:type="pct"/>
            <w:shd w:val="clear" w:color="auto" w:fill="auto"/>
            <w:noWrap/>
            <w:vAlign w:val="center"/>
          </w:tcPr>
          <w:p>
            <w:pPr>
              <w:pStyle w:val="18"/>
              <w:bidi w:val="0"/>
              <w:rPr>
                <w:rFonts w:hint="eastAsia"/>
              </w:rPr>
            </w:pP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72" w:type="pct"/>
            <w:shd w:val="clear" w:color="auto" w:fill="auto"/>
            <w:vAlign w:val="center"/>
          </w:tcPr>
          <w:p>
            <w:pPr>
              <w:pStyle w:val="18"/>
              <w:bidi w:val="0"/>
              <w:rPr>
                <w:rFonts w:hint="default"/>
              </w:rPr>
            </w:pPr>
            <w:r>
              <w:rPr>
                <w:rFonts w:hint="default"/>
                <w:lang w:val="en-US" w:eastAsia="zh-CN"/>
              </w:rPr>
              <w:t>13</w:t>
            </w:r>
          </w:p>
        </w:tc>
        <w:tc>
          <w:tcPr>
            <w:tcW w:w="896" w:type="pct"/>
            <w:shd w:val="clear" w:color="auto" w:fill="auto"/>
            <w:noWrap/>
            <w:vAlign w:val="center"/>
          </w:tcPr>
          <w:p>
            <w:pPr>
              <w:pStyle w:val="18"/>
              <w:bidi w:val="0"/>
              <w:rPr>
                <w:rFonts w:hint="eastAsia"/>
              </w:rPr>
            </w:pPr>
            <w:r>
              <w:rPr>
                <w:rFonts w:hint="eastAsia"/>
                <w:lang w:val="en-US" w:eastAsia="zh-CN"/>
              </w:rPr>
              <w:t>河南省科技馆新馆运维保障经费</w:t>
            </w:r>
          </w:p>
        </w:tc>
        <w:tc>
          <w:tcPr>
            <w:tcW w:w="564" w:type="pct"/>
            <w:shd w:val="clear" w:color="auto" w:fill="auto"/>
            <w:noWrap/>
            <w:vAlign w:val="center"/>
          </w:tcPr>
          <w:p>
            <w:pPr>
              <w:pStyle w:val="18"/>
              <w:bidi w:val="0"/>
              <w:rPr>
                <w:rFonts w:hint="default"/>
              </w:rPr>
            </w:pPr>
            <w:r>
              <w:rPr>
                <w:rFonts w:hint="default"/>
                <w:lang w:val="en-US" w:eastAsia="zh-CN"/>
              </w:rPr>
              <w:t>1000</w:t>
            </w:r>
          </w:p>
        </w:tc>
        <w:tc>
          <w:tcPr>
            <w:tcW w:w="442" w:type="pct"/>
            <w:shd w:val="clear" w:color="auto" w:fill="auto"/>
            <w:noWrap/>
            <w:vAlign w:val="center"/>
          </w:tcPr>
          <w:p>
            <w:pPr>
              <w:pStyle w:val="18"/>
              <w:bidi w:val="0"/>
              <w:rPr>
                <w:rFonts w:hint="default"/>
              </w:rPr>
            </w:pPr>
            <w:r>
              <w:rPr>
                <w:rFonts w:hint="default"/>
                <w:lang w:val="en-US" w:eastAsia="zh-CN"/>
              </w:rPr>
              <w:t>999.43</w:t>
            </w:r>
          </w:p>
        </w:tc>
        <w:tc>
          <w:tcPr>
            <w:tcW w:w="437" w:type="pct"/>
            <w:shd w:val="clear" w:color="auto" w:fill="auto"/>
            <w:noWrap/>
            <w:vAlign w:val="center"/>
          </w:tcPr>
          <w:p>
            <w:pPr>
              <w:pStyle w:val="18"/>
              <w:bidi w:val="0"/>
              <w:rPr>
                <w:rFonts w:hint="default"/>
              </w:rPr>
            </w:pPr>
            <w:r>
              <w:rPr>
                <w:rFonts w:hint="default"/>
                <w:lang w:val="en-US" w:eastAsia="zh-CN"/>
              </w:rPr>
              <w:t>99.94%</w:t>
            </w:r>
          </w:p>
        </w:tc>
        <w:tc>
          <w:tcPr>
            <w:tcW w:w="447" w:type="pct"/>
            <w:shd w:val="clear" w:color="auto" w:fill="auto"/>
            <w:vAlign w:val="center"/>
          </w:tcPr>
          <w:p>
            <w:pPr>
              <w:pStyle w:val="18"/>
              <w:bidi w:val="0"/>
              <w:rPr>
                <w:rFonts w:hint="default"/>
              </w:rPr>
            </w:pPr>
            <w:r>
              <w:rPr>
                <w:rFonts w:hint="default"/>
                <w:lang w:val="en-US" w:eastAsia="zh-CN"/>
              </w:rPr>
              <w:t>100%</w:t>
            </w:r>
          </w:p>
        </w:tc>
        <w:tc>
          <w:tcPr>
            <w:tcW w:w="385" w:type="pct"/>
            <w:shd w:val="clear" w:color="auto" w:fill="auto"/>
            <w:noWrap/>
            <w:vAlign w:val="center"/>
          </w:tcPr>
          <w:p>
            <w:pPr>
              <w:pStyle w:val="18"/>
              <w:bidi w:val="0"/>
              <w:rPr>
                <w:rFonts w:hint="default"/>
              </w:rPr>
            </w:pPr>
            <w:r>
              <w:rPr>
                <w:rFonts w:hint="default"/>
                <w:lang w:val="en-US" w:eastAsia="zh-CN"/>
              </w:rPr>
              <w:t>/</w:t>
            </w:r>
          </w:p>
        </w:tc>
        <w:tc>
          <w:tcPr>
            <w:tcW w:w="409" w:type="pct"/>
            <w:shd w:val="clear" w:color="auto" w:fill="auto"/>
            <w:noWrap/>
            <w:vAlign w:val="center"/>
          </w:tcPr>
          <w:p>
            <w:pPr>
              <w:pStyle w:val="18"/>
              <w:bidi w:val="0"/>
              <w:rPr>
                <w:rFonts w:hint="default"/>
              </w:rPr>
            </w:pPr>
            <w:r>
              <w:rPr>
                <w:rFonts w:hint="default"/>
                <w:lang w:val="en-US" w:eastAsia="zh-CN"/>
              </w:rPr>
              <w:t>90.00%</w:t>
            </w:r>
          </w:p>
        </w:tc>
        <w:tc>
          <w:tcPr>
            <w:tcW w:w="376" w:type="pct"/>
            <w:shd w:val="clear" w:color="auto" w:fill="auto"/>
            <w:vAlign w:val="center"/>
          </w:tcPr>
          <w:p>
            <w:pPr>
              <w:pStyle w:val="18"/>
              <w:bidi w:val="0"/>
              <w:rPr>
                <w:rFonts w:hint="default"/>
              </w:rPr>
            </w:pPr>
            <w:r>
              <w:rPr>
                <w:rFonts w:hint="default"/>
                <w:lang w:val="en-US" w:eastAsia="zh-CN"/>
              </w:rPr>
              <w:t>100%</w:t>
            </w:r>
          </w:p>
        </w:tc>
        <w:tc>
          <w:tcPr>
            <w:tcW w:w="343" w:type="pct"/>
            <w:shd w:val="clear" w:color="auto" w:fill="auto"/>
            <w:vAlign w:val="center"/>
          </w:tcPr>
          <w:p>
            <w:pPr>
              <w:pStyle w:val="18"/>
              <w:bidi w:val="0"/>
              <w:rPr>
                <w:rFonts w:hint="default"/>
              </w:rPr>
            </w:pPr>
            <w:r>
              <w:rPr>
                <w:rFonts w:hint="default"/>
                <w:lang w:val="en-US" w:eastAsia="zh-CN"/>
              </w:rPr>
              <w:t>100%</w:t>
            </w:r>
          </w:p>
        </w:tc>
        <w:tc>
          <w:tcPr>
            <w:tcW w:w="263" w:type="pct"/>
            <w:shd w:val="clear" w:color="auto" w:fill="auto"/>
            <w:noWrap/>
            <w:vAlign w:val="center"/>
          </w:tcPr>
          <w:p>
            <w:pPr>
              <w:pStyle w:val="18"/>
              <w:bidi w:val="0"/>
              <w:rPr>
                <w:rFonts w:hint="default"/>
              </w:rPr>
            </w:pPr>
            <w:r>
              <w:rPr>
                <w:rFonts w:hint="default"/>
                <w:lang w:val="en-US" w:eastAsia="zh-CN"/>
              </w:rPr>
              <w:t>95.99</w:t>
            </w:r>
          </w:p>
        </w:tc>
        <w:tc>
          <w:tcPr>
            <w:tcW w:w="260" w:type="pct"/>
            <w:shd w:val="clear" w:color="auto" w:fill="auto"/>
            <w:noWrap/>
            <w:vAlign w:val="center"/>
          </w:tcPr>
          <w:p>
            <w:pPr>
              <w:pStyle w:val="18"/>
              <w:bidi w:val="0"/>
              <w:rPr>
                <w:rFonts w:hint="eastAsia"/>
              </w:rPr>
            </w:pP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72" w:type="pct"/>
            <w:shd w:val="clear" w:color="auto" w:fill="auto"/>
            <w:vAlign w:val="center"/>
          </w:tcPr>
          <w:p>
            <w:pPr>
              <w:pStyle w:val="18"/>
              <w:bidi w:val="0"/>
              <w:rPr>
                <w:rFonts w:hint="default"/>
              </w:rPr>
            </w:pPr>
            <w:r>
              <w:rPr>
                <w:rFonts w:hint="default"/>
                <w:lang w:val="en-US" w:eastAsia="zh-CN"/>
              </w:rPr>
              <w:t>14</w:t>
            </w:r>
          </w:p>
        </w:tc>
        <w:tc>
          <w:tcPr>
            <w:tcW w:w="896" w:type="pct"/>
            <w:shd w:val="clear" w:color="auto" w:fill="auto"/>
            <w:noWrap/>
            <w:vAlign w:val="center"/>
          </w:tcPr>
          <w:p>
            <w:pPr>
              <w:pStyle w:val="18"/>
              <w:bidi w:val="0"/>
              <w:rPr>
                <w:rFonts w:hint="eastAsia"/>
              </w:rPr>
            </w:pPr>
            <w:r>
              <w:rPr>
                <w:rFonts w:hint="eastAsia"/>
                <w:lang w:val="en-US" w:eastAsia="zh-CN"/>
              </w:rPr>
              <w:t>会议-科协事业</w:t>
            </w:r>
          </w:p>
        </w:tc>
        <w:tc>
          <w:tcPr>
            <w:tcW w:w="564" w:type="pct"/>
            <w:shd w:val="clear" w:color="auto" w:fill="auto"/>
            <w:noWrap/>
            <w:vAlign w:val="center"/>
          </w:tcPr>
          <w:p>
            <w:pPr>
              <w:pStyle w:val="18"/>
              <w:bidi w:val="0"/>
              <w:rPr>
                <w:rFonts w:hint="default"/>
              </w:rPr>
            </w:pPr>
            <w:r>
              <w:rPr>
                <w:rFonts w:hint="default"/>
                <w:lang w:val="en-US" w:eastAsia="zh-CN"/>
              </w:rPr>
              <w:t>55</w:t>
            </w:r>
          </w:p>
        </w:tc>
        <w:tc>
          <w:tcPr>
            <w:tcW w:w="442" w:type="pct"/>
            <w:shd w:val="clear" w:color="auto" w:fill="auto"/>
            <w:noWrap/>
            <w:vAlign w:val="center"/>
          </w:tcPr>
          <w:p>
            <w:pPr>
              <w:pStyle w:val="18"/>
              <w:bidi w:val="0"/>
              <w:rPr>
                <w:rFonts w:hint="default"/>
              </w:rPr>
            </w:pPr>
            <w:r>
              <w:rPr>
                <w:rFonts w:hint="default"/>
                <w:lang w:val="en-US" w:eastAsia="zh-CN"/>
              </w:rPr>
              <w:t>52.39</w:t>
            </w:r>
          </w:p>
        </w:tc>
        <w:tc>
          <w:tcPr>
            <w:tcW w:w="437" w:type="pct"/>
            <w:shd w:val="clear" w:color="auto" w:fill="auto"/>
            <w:noWrap/>
            <w:vAlign w:val="center"/>
          </w:tcPr>
          <w:p>
            <w:pPr>
              <w:pStyle w:val="18"/>
              <w:bidi w:val="0"/>
              <w:rPr>
                <w:rFonts w:hint="default"/>
              </w:rPr>
            </w:pPr>
            <w:r>
              <w:rPr>
                <w:rFonts w:hint="default"/>
                <w:lang w:val="en-US" w:eastAsia="zh-CN"/>
              </w:rPr>
              <w:t>95.25%</w:t>
            </w:r>
          </w:p>
        </w:tc>
        <w:tc>
          <w:tcPr>
            <w:tcW w:w="447" w:type="pct"/>
            <w:shd w:val="clear" w:color="auto" w:fill="auto"/>
            <w:noWrap/>
            <w:vAlign w:val="center"/>
          </w:tcPr>
          <w:p>
            <w:pPr>
              <w:pStyle w:val="18"/>
              <w:bidi w:val="0"/>
              <w:rPr>
                <w:rFonts w:hint="default"/>
              </w:rPr>
            </w:pPr>
            <w:r>
              <w:rPr>
                <w:rFonts w:hint="default"/>
                <w:lang w:val="en-US" w:eastAsia="zh-CN"/>
              </w:rPr>
              <w:t>100%</w:t>
            </w:r>
          </w:p>
        </w:tc>
        <w:tc>
          <w:tcPr>
            <w:tcW w:w="385" w:type="pct"/>
            <w:shd w:val="clear" w:color="auto" w:fill="auto"/>
            <w:noWrap/>
            <w:vAlign w:val="center"/>
          </w:tcPr>
          <w:p>
            <w:pPr>
              <w:pStyle w:val="18"/>
              <w:bidi w:val="0"/>
              <w:rPr>
                <w:rFonts w:hint="default"/>
              </w:rPr>
            </w:pPr>
            <w:r>
              <w:rPr>
                <w:rFonts w:hint="default"/>
                <w:lang w:val="en-US" w:eastAsia="zh-CN"/>
              </w:rPr>
              <w:t>/</w:t>
            </w:r>
          </w:p>
        </w:tc>
        <w:tc>
          <w:tcPr>
            <w:tcW w:w="409" w:type="pct"/>
            <w:shd w:val="clear" w:color="auto" w:fill="auto"/>
            <w:vAlign w:val="center"/>
          </w:tcPr>
          <w:p>
            <w:pPr>
              <w:pStyle w:val="18"/>
              <w:bidi w:val="0"/>
              <w:rPr>
                <w:rFonts w:hint="default"/>
              </w:rPr>
            </w:pPr>
            <w:r>
              <w:rPr>
                <w:rFonts w:hint="default"/>
                <w:lang w:val="en-US" w:eastAsia="zh-CN"/>
              </w:rPr>
              <w:t>100%</w:t>
            </w:r>
          </w:p>
        </w:tc>
        <w:tc>
          <w:tcPr>
            <w:tcW w:w="376" w:type="pct"/>
            <w:shd w:val="clear" w:color="auto" w:fill="auto"/>
            <w:vAlign w:val="center"/>
          </w:tcPr>
          <w:p>
            <w:pPr>
              <w:pStyle w:val="18"/>
              <w:bidi w:val="0"/>
              <w:rPr>
                <w:rFonts w:hint="default"/>
              </w:rPr>
            </w:pPr>
            <w:r>
              <w:rPr>
                <w:rFonts w:hint="default"/>
                <w:lang w:val="en-US" w:eastAsia="zh-CN"/>
              </w:rPr>
              <w:t>100%</w:t>
            </w:r>
          </w:p>
        </w:tc>
        <w:tc>
          <w:tcPr>
            <w:tcW w:w="343" w:type="pct"/>
            <w:shd w:val="clear" w:color="auto" w:fill="auto"/>
            <w:vAlign w:val="center"/>
          </w:tcPr>
          <w:p>
            <w:pPr>
              <w:pStyle w:val="18"/>
              <w:bidi w:val="0"/>
              <w:rPr>
                <w:rFonts w:hint="default"/>
              </w:rPr>
            </w:pPr>
            <w:r>
              <w:rPr>
                <w:rFonts w:hint="default"/>
                <w:lang w:val="en-US" w:eastAsia="zh-CN"/>
              </w:rPr>
              <w:t>100%</w:t>
            </w:r>
          </w:p>
        </w:tc>
        <w:tc>
          <w:tcPr>
            <w:tcW w:w="263" w:type="pct"/>
            <w:shd w:val="clear" w:color="auto" w:fill="auto"/>
            <w:noWrap/>
            <w:vAlign w:val="center"/>
          </w:tcPr>
          <w:p>
            <w:pPr>
              <w:pStyle w:val="18"/>
              <w:bidi w:val="0"/>
              <w:rPr>
                <w:rFonts w:hint="default"/>
              </w:rPr>
            </w:pPr>
            <w:r>
              <w:rPr>
                <w:rFonts w:hint="default"/>
                <w:lang w:val="en-US" w:eastAsia="zh-CN"/>
              </w:rPr>
              <w:t>99.53</w:t>
            </w:r>
          </w:p>
        </w:tc>
        <w:tc>
          <w:tcPr>
            <w:tcW w:w="260" w:type="pct"/>
            <w:shd w:val="clear" w:color="auto" w:fill="auto"/>
            <w:noWrap/>
            <w:vAlign w:val="center"/>
          </w:tcPr>
          <w:p>
            <w:pPr>
              <w:pStyle w:val="18"/>
              <w:bidi w:val="0"/>
              <w:rPr>
                <w:rFonts w:hint="eastAsia"/>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72" w:type="pct"/>
            <w:shd w:val="clear" w:color="auto" w:fill="auto"/>
            <w:vAlign w:val="center"/>
          </w:tcPr>
          <w:p>
            <w:pPr>
              <w:pStyle w:val="18"/>
              <w:bidi w:val="0"/>
              <w:rPr>
                <w:rFonts w:hint="default"/>
              </w:rPr>
            </w:pPr>
            <w:r>
              <w:rPr>
                <w:rFonts w:hint="default"/>
                <w:lang w:val="en-US" w:eastAsia="zh-CN"/>
              </w:rPr>
              <w:t>15</w:t>
            </w:r>
          </w:p>
        </w:tc>
        <w:tc>
          <w:tcPr>
            <w:tcW w:w="896" w:type="pct"/>
            <w:shd w:val="clear" w:color="auto" w:fill="auto"/>
            <w:noWrap/>
            <w:vAlign w:val="center"/>
          </w:tcPr>
          <w:p>
            <w:pPr>
              <w:pStyle w:val="18"/>
              <w:bidi w:val="0"/>
              <w:rPr>
                <w:rFonts w:hint="eastAsia"/>
              </w:rPr>
            </w:pPr>
            <w:r>
              <w:rPr>
                <w:rFonts w:hint="eastAsia"/>
                <w:lang w:val="en-US" w:eastAsia="zh-CN"/>
              </w:rPr>
              <w:t>科普与学会服务能力提升专项-省级</w:t>
            </w:r>
          </w:p>
        </w:tc>
        <w:tc>
          <w:tcPr>
            <w:tcW w:w="564" w:type="pct"/>
            <w:shd w:val="clear" w:color="auto" w:fill="auto"/>
            <w:noWrap/>
            <w:vAlign w:val="center"/>
          </w:tcPr>
          <w:p>
            <w:pPr>
              <w:pStyle w:val="18"/>
              <w:bidi w:val="0"/>
              <w:rPr>
                <w:rFonts w:hint="default"/>
              </w:rPr>
            </w:pPr>
            <w:r>
              <w:rPr>
                <w:rFonts w:hint="default"/>
                <w:lang w:val="en-US" w:eastAsia="zh-CN"/>
              </w:rPr>
              <w:t>284</w:t>
            </w:r>
          </w:p>
        </w:tc>
        <w:tc>
          <w:tcPr>
            <w:tcW w:w="442" w:type="pct"/>
            <w:shd w:val="clear" w:color="auto" w:fill="auto"/>
            <w:noWrap/>
            <w:vAlign w:val="center"/>
          </w:tcPr>
          <w:p>
            <w:pPr>
              <w:pStyle w:val="18"/>
              <w:bidi w:val="0"/>
              <w:rPr>
                <w:rFonts w:hint="default"/>
              </w:rPr>
            </w:pPr>
            <w:r>
              <w:rPr>
                <w:rFonts w:hint="default"/>
                <w:lang w:val="en-US" w:eastAsia="zh-CN"/>
              </w:rPr>
              <w:t>40.38</w:t>
            </w:r>
          </w:p>
        </w:tc>
        <w:tc>
          <w:tcPr>
            <w:tcW w:w="437" w:type="pct"/>
            <w:shd w:val="clear" w:color="auto" w:fill="auto"/>
            <w:noWrap/>
            <w:vAlign w:val="center"/>
          </w:tcPr>
          <w:p>
            <w:pPr>
              <w:pStyle w:val="18"/>
              <w:bidi w:val="0"/>
              <w:rPr>
                <w:rFonts w:hint="default"/>
              </w:rPr>
            </w:pPr>
            <w:r>
              <w:rPr>
                <w:rFonts w:hint="default"/>
                <w:lang w:val="en-US" w:eastAsia="zh-CN"/>
              </w:rPr>
              <w:t>14.22%</w:t>
            </w:r>
          </w:p>
        </w:tc>
        <w:tc>
          <w:tcPr>
            <w:tcW w:w="447" w:type="pct"/>
            <w:shd w:val="clear" w:color="auto" w:fill="auto"/>
            <w:noWrap/>
            <w:vAlign w:val="center"/>
          </w:tcPr>
          <w:p>
            <w:pPr>
              <w:pStyle w:val="18"/>
              <w:bidi w:val="0"/>
              <w:rPr>
                <w:rFonts w:hint="default"/>
              </w:rPr>
            </w:pPr>
            <w:r>
              <w:rPr>
                <w:rFonts w:hint="default"/>
                <w:lang w:val="en-US" w:eastAsia="zh-CN"/>
              </w:rPr>
              <w:t>97.50%</w:t>
            </w:r>
          </w:p>
        </w:tc>
        <w:tc>
          <w:tcPr>
            <w:tcW w:w="385" w:type="pct"/>
            <w:shd w:val="clear" w:color="auto" w:fill="auto"/>
            <w:noWrap/>
            <w:vAlign w:val="center"/>
          </w:tcPr>
          <w:p>
            <w:pPr>
              <w:pStyle w:val="18"/>
              <w:bidi w:val="0"/>
              <w:rPr>
                <w:rFonts w:hint="eastAsia"/>
              </w:rPr>
            </w:pPr>
          </w:p>
        </w:tc>
        <w:tc>
          <w:tcPr>
            <w:tcW w:w="409" w:type="pct"/>
            <w:shd w:val="clear" w:color="auto" w:fill="auto"/>
            <w:noWrap/>
            <w:vAlign w:val="center"/>
          </w:tcPr>
          <w:p>
            <w:pPr>
              <w:pStyle w:val="18"/>
              <w:bidi w:val="0"/>
              <w:rPr>
                <w:rFonts w:hint="default"/>
              </w:rPr>
            </w:pPr>
            <w:r>
              <w:rPr>
                <w:rFonts w:hint="default"/>
                <w:lang w:val="en-US" w:eastAsia="zh-CN"/>
              </w:rPr>
              <w:t>94.28%</w:t>
            </w:r>
          </w:p>
        </w:tc>
        <w:tc>
          <w:tcPr>
            <w:tcW w:w="376" w:type="pct"/>
            <w:shd w:val="clear" w:color="auto" w:fill="auto"/>
            <w:vAlign w:val="center"/>
          </w:tcPr>
          <w:p>
            <w:pPr>
              <w:pStyle w:val="18"/>
              <w:bidi w:val="0"/>
              <w:rPr>
                <w:rFonts w:hint="default"/>
              </w:rPr>
            </w:pPr>
            <w:r>
              <w:rPr>
                <w:rFonts w:hint="default"/>
                <w:lang w:val="en-US" w:eastAsia="zh-CN"/>
              </w:rPr>
              <w:t>100%</w:t>
            </w:r>
          </w:p>
        </w:tc>
        <w:tc>
          <w:tcPr>
            <w:tcW w:w="343" w:type="pct"/>
            <w:shd w:val="clear" w:color="auto" w:fill="auto"/>
            <w:vAlign w:val="center"/>
          </w:tcPr>
          <w:p>
            <w:pPr>
              <w:pStyle w:val="18"/>
              <w:bidi w:val="0"/>
              <w:rPr>
                <w:rFonts w:hint="default"/>
              </w:rPr>
            </w:pPr>
            <w:r>
              <w:rPr>
                <w:rFonts w:hint="default"/>
                <w:lang w:val="en-US" w:eastAsia="zh-CN"/>
              </w:rPr>
              <w:t>100%</w:t>
            </w:r>
          </w:p>
        </w:tc>
        <w:tc>
          <w:tcPr>
            <w:tcW w:w="263" w:type="pct"/>
            <w:shd w:val="clear" w:color="auto" w:fill="auto"/>
            <w:noWrap/>
            <w:vAlign w:val="center"/>
          </w:tcPr>
          <w:p>
            <w:pPr>
              <w:pStyle w:val="18"/>
              <w:bidi w:val="0"/>
              <w:rPr>
                <w:rFonts w:hint="default"/>
              </w:rPr>
            </w:pPr>
            <w:r>
              <w:rPr>
                <w:rFonts w:hint="default"/>
                <w:lang w:val="en-US" w:eastAsia="zh-CN"/>
              </w:rPr>
              <w:t>88.63</w:t>
            </w:r>
          </w:p>
        </w:tc>
        <w:tc>
          <w:tcPr>
            <w:tcW w:w="260" w:type="pct"/>
            <w:shd w:val="clear" w:color="auto" w:fill="auto"/>
            <w:noWrap/>
            <w:vAlign w:val="center"/>
          </w:tcPr>
          <w:p>
            <w:pPr>
              <w:pStyle w:val="18"/>
              <w:bidi w:val="0"/>
              <w:rPr>
                <w:rFonts w:hint="eastAsia"/>
              </w:rPr>
            </w:pP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72" w:type="pct"/>
            <w:shd w:val="clear" w:color="auto" w:fill="auto"/>
            <w:vAlign w:val="center"/>
          </w:tcPr>
          <w:p>
            <w:pPr>
              <w:pStyle w:val="18"/>
              <w:bidi w:val="0"/>
              <w:rPr>
                <w:rFonts w:hint="default"/>
                <w:b/>
                <w:bCs/>
              </w:rPr>
            </w:pPr>
            <w:r>
              <w:rPr>
                <w:rFonts w:hint="default"/>
                <w:b/>
                <w:bCs/>
                <w:lang w:val="en-US" w:eastAsia="zh-CN"/>
              </w:rPr>
              <w:t>16</w:t>
            </w:r>
          </w:p>
        </w:tc>
        <w:tc>
          <w:tcPr>
            <w:tcW w:w="896" w:type="pct"/>
            <w:shd w:val="clear" w:color="auto" w:fill="auto"/>
            <w:noWrap/>
            <w:vAlign w:val="center"/>
          </w:tcPr>
          <w:p>
            <w:pPr>
              <w:pStyle w:val="18"/>
              <w:bidi w:val="0"/>
              <w:rPr>
                <w:rFonts w:hint="eastAsia"/>
                <w:b/>
                <w:bCs/>
              </w:rPr>
            </w:pPr>
            <w:r>
              <w:rPr>
                <w:rFonts w:hint="eastAsia"/>
                <w:b/>
                <w:bCs/>
                <w:lang w:val="en-US" w:eastAsia="zh-CN"/>
              </w:rPr>
              <w:t>合计</w:t>
            </w:r>
          </w:p>
        </w:tc>
        <w:tc>
          <w:tcPr>
            <w:tcW w:w="564" w:type="pct"/>
            <w:shd w:val="clear" w:color="auto" w:fill="auto"/>
            <w:noWrap/>
            <w:vAlign w:val="center"/>
          </w:tcPr>
          <w:p>
            <w:pPr>
              <w:pStyle w:val="18"/>
              <w:bidi w:val="0"/>
              <w:rPr>
                <w:rFonts w:hint="default"/>
                <w:b/>
                <w:bCs/>
              </w:rPr>
            </w:pPr>
            <w:r>
              <w:rPr>
                <w:rFonts w:hint="default"/>
                <w:b/>
                <w:bCs/>
                <w:lang w:val="en-US" w:eastAsia="zh-CN"/>
              </w:rPr>
              <w:t>7863.66</w:t>
            </w:r>
          </w:p>
        </w:tc>
        <w:tc>
          <w:tcPr>
            <w:tcW w:w="442" w:type="pct"/>
            <w:shd w:val="clear" w:color="auto" w:fill="auto"/>
            <w:noWrap/>
            <w:vAlign w:val="center"/>
          </w:tcPr>
          <w:p>
            <w:pPr>
              <w:pStyle w:val="18"/>
              <w:bidi w:val="0"/>
              <w:rPr>
                <w:rFonts w:hint="default"/>
                <w:b/>
                <w:bCs/>
              </w:rPr>
            </w:pPr>
            <w:r>
              <w:rPr>
                <w:rFonts w:hint="default"/>
                <w:b/>
                <w:bCs/>
                <w:lang w:val="en-US" w:eastAsia="zh-CN"/>
              </w:rPr>
              <w:t>6780.62</w:t>
            </w:r>
          </w:p>
        </w:tc>
        <w:tc>
          <w:tcPr>
            <w:tcW w:w="437" w:type="pct"/>
            <w:shd w:val="clear" w:color="auto" w:fill="auto"/>
            <w:noWrap/>
            <w:vAlign w:val="center"/>
          </w:tcPr>
          <w:p>
            <w:pPr>
              <w:pStyle w:val="18"/>
              <w:bidi w:val="0"/>
              <w:rPr>
                <w:rFonts w:hint="default"/>
                <w:b/>
                <w:bCs/>
              </w:rPr>
            </w:pPr>
            <w:r>
              <w:rPr>
                <w:rFonts w:hint="default"/>
                <w:b/>
                <w:bCs/>
                <w:lang w:val="en-US" w:eastAsia="zh-CN"/>
              </w:rPr>
              <w:t>86.23%</w:t>
            </w:r>
          </w:p>
        </w:tc>
        <w:tc>
          <w:tcPr>
            <w:tcW w:w="447" w:type="pct"/>
            <w:shd w:val="clear" w:color="auto" w:fill="auto"/>
            <w:noWrap/>
            <w:vAlign w:val="center"/>
          </w:tcPr>
          <w:p>
            <w:pPr>
              <w:pStyle w:val="18"/>
              <w:bidi w:val="0"/>
              <w:rPr>
                <w:rFonts w:hint="eastAsia"/>
                <w:b/>
                <w:bCs/>
              </w:rPr>
            </w:pPr>
          </w:p>
        </w:tc>
        <w:tc>
          <w:tcPr>
            <w:tcW w:w="385" w:type="pct"/>
            <w:shd w:val="clear" w:color="auto" w:fill="auto"/>
            <w:noWrap/>
            <w:vAlign w:val="center"/>
          </w:tcPr>
          <w:p>
            <w:pPr>
              <w:pStyle w:val="18"/>
              <w:bidi w:val="0"/>
              <w:rPr>
                <w:rFonts w:hint="eastAsia"/>
                <w:b/>
                <w:bCs/>
              </w:rPr>
            </w:pPr>
          </w:p>
        </w:tc>
        <w:tc>
          <w:tcPr>
            <w:tcW w:w="409" w:type="pct"/>
            <w:shd w:val="clear" w:color="auto" w:fill="auto"/>
            <w:noWrap/>
            <w:vAlign w:val="center"/>
          </w:tcPr>
          <w:p>
            <w:pPr>
              <w:pStyle w:val="18"/>
              <w:bidi w:val="0"/>
              <w:rPr>
                <w:rFonts w:hint="eastAsia"/>
                <w:b/>
                <w:bCs/>
              </w:rPr>
            </w:pPr>
          </w:p>
        </w:tc>
        <w:tc>
          <w:tcPr>
            <w:tcW w:w="376" w:type="pct"/>
            <w:shd w:val="clear" w:color="auto" w:fill="auto"/>
            <w:noWrap/>
            <w:vAlign w:val="center"/>
          </w:tcPr>
          <w:p>
            <w:pPr>
              <w:pStyle w:val="18"/>
              <w:bidi w:val="0"/>
              <w:rPr>
                <w:rFonts w:hint="eastAsia"/>
                <w:b/>
                <w:bCs/>
              </w:rPr>
            </w:pPr>
          </w:p>
        </w:tc>
        <w:tc>
          <w:tcPr>
            <w:tcW w:w="343" w:type="pct"/>
            <w:shd w:val="clear" w:color="auto" w:fill="auto"/>
            <w:noWrap/>
            <w:vAlign w:val="center"/>
          </w:tcPr>
          <w:p>
            <w:pPr>
              <w:pStyle w:val="18"/>
              <w:bidi w:val="0"/>
              <w:rPr>
                <w:rFonts w:hint="eastAsia"/>
                <w:b/>
                <w:bCs/>
              </w:rPr>
            </w:pPr>
          </w:p>
        </w:tc>
        <w:tc>
          <w:tcPr>
            <w:tcW w:w="263" w:type="pct"/>
            <w:shd w:val="clear" w:color="auto" w:fill="auto"/>
            <w:noWrap/>
            <w:vAlign w:val="center"/>
          </w:tcPr>
          <w:p>
            <w:pPr>
              <w:pStyle w:val="18"/>
              <w:bidi w:val="0"/>
              <w:rPr>
                <w:rFonts w:hint="default"/>
                <w:b/>
                <w:bCs/>
              </w:rPr>
            </w:pPr>
            <w:r>
              <w:rPr>
                <w:rFonts w:hint="default"/>
                <w:b/>
                <w:bCs/>
                <w:lang w:val="en-US" w:eastAsia="zh-CN"/>
              </w:rPr>
              <w:t>96.39</w:t>
            </w:r>
          </w:p>
        </w:tc>
        <w:tc>
          <w:tcPr>
            <w:tcW w:w="260" w:type="pct"/>
            <w:shd w:val="clear" w:color="auto" w:fill="auto"/>
            <w:noWrap/>
            <w:vAlign w:val="center"/>
          </w:tcPr>
          <w:p>
            <w:pPr>
              <w:pStyle w:val="18"/>
              <w:bidi w:val="0"/>
              <w:rPr>
                <w:rFonts w:hint="eastAsia"/>
                <w:b/>
                <w:bCs/>
              </w:rPr>
            </w:pPr>
          </w:p>
        </w:tc>
      </w:tr>
    </w:tbl>
    <w:p>
      <w:pPr>
        <w:pStyle w:val="2"/>
      </w:pPr>
    </w:p>
    <w:p>
      <w:pPr>
        <w:jc w:val="left"/>
      </w:pPr>
    </w:p>
    <w:sectPr>
      <w:pgSz w:w="16838" w:h="11906" w:orient="landscape"/>
      <w:pgMar w:top="1800" w:right="1440" w:bottom="1800" w:left="1440" w:header="851" w:footer="992" w:gutter="0"/>
      <w:cols w:space="425"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88"/>
    <w:family w:val="moder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 xml:space="preserve">— </w:t>
    </w:r>
    <w:r>
      <w:fldChar w:fldCharType="begin"/>
    </w:r>
    <w:r>
      <w:instrText xml:space="preserve">PAGE   \* MERGEFORMAT</w:instrText>
    </w:r>
    <w:r>
      <w:fldChar w:fldCharType="separate"/>
    </w:r>
    <w:r>
      <w:rPr>
        <w:lang w:val="zh-CN"/>
      </w:rPr>
      <w:t>2</w:t>
    </w:r>
    <w:r>
      <w:fldChar w:fldCharType="end"/>
    </w:r>
    <w:r>
      <w:t xml:space="preserve"> </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 xml:space="preserve">— </w:t>
    </w:r>
    <w:r>
      <w:fldChar w:fldCharType="begin"/>
    </w:r>
    <w:r>
      <w:instrText xml:space="preserve">PAGE   \* MERGEFORMAT</w:instrText>
    </w:r>
    <w:r>
      <w:fldChar w:fldCharType="separate"/>
    </w:r>
    <w:r>
      <w:t>1</w:t>
    </w:r>
    <w:r>
      <w:fldChar w:fldCharType="end"/>
    </w:r>
    <w: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isplayHorizontalDrawingGridEvery w:val="1"/>
  <w:displayVerticalDrawingGridEvery w:val="1"/>
  <w:noPunctuationKerning w:val="true"/>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DBmMDFmMTc4NGFlYTVjNWY4MWM2YzlhYmQ0YTIyMGIifQ=="/>
  </w:docVars>
  <w:rsids>
    <w:rsidRoot w:val="00BD0B43"/>
    <w:rsid w:val="000C71C1"/>
    <w:rsid w:val="00331F34"/>
    <w:rsid w:val="005D74DF"/>
    <w:rsid w:val="006254E4"/>
    <w:rsid w:val="00635ED7"/>
    <w:rsid w:val="007D5763"/>
    <w:rsid w:val="007D72DB"/>
    <w:rsid w:val="0090224C"/>
    <w:rsid w:val="00A47628"/>
    <w:rsid w:val="00AA3654"/>
    <w:rsid w:val="00AD6218"/>
    <w:rsid w:val="00BD0B43"/>
    <w:rsid w:val="00BD35CD"/>
    <w:rsid w:val="00D02E00"/>
    <w:rsid w:val="00DF47D6"/>
    <w:rsid w:val="00E451FF"/>
    <w:rsid w:val="00FB1391"/>
    <w:rsid w:val="1AFEA1C7"/>
    <w:rsid w:val="31A12FAD"/>
    <w:rsid w:val="37D8081F"/>
    <w:rsid w:val="435768B0"/>
    <w:rsid w:val="4B83052A"/>
    <w:rsid w:val="5E502077"/>
    <w:rsid w:val="60132A72"/>
    <w:rsid w:val="65CA34D2"/>
    <w:rsid w:val="77D37592"/>
    <w:rsid w:val="7DA7270E"/>
    <w:rsid w:val="DBFD8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88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3"/>
    <w:qFormat/>
    <w:uiPriority w:val="9"/>
    <w:pPr>
      <w:keepNext/>
      <w:keepLines/>
      <w:spacing w:before="340" w:after="330"/>
      <w:jc w:val="center"/>
      <w:outlineLvl w:val="0"/>
    </w:pPr>
    <w:rPr>
      <w:rFonts w:eastAsia="宋体" w:cstheme="minorBidi"/>
      <w:bCs/>
      <w:kern w:val="44"/>
      <w:sz w:val="20"/>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600" w:lineRule="exact"/>
      <w:ind w:firstLine="883"/>
    </w:pPr>
    <w:rPr>
      <w:rFonts w:ascii="Calibri" w:hAnsi="Calibri" w:cs="Times New Roman"/>
      <w:szCs w:val="21"/>
    </w:rPr>
  </w:style>
  <w:style w:type="paragraph" w:styleId="4">
    <w:name w:val="annotation text"/>
    <w:basedOn w:val="1"/>
    <w:link w:val="15"/>
    <w:semiHidden/>
    <w:unhideWhenUsed/>
    <w:qFormat/>
    <w:uiPriority w:val="99"/>
    <w:pPr>
      <w:jc w:val="left"/>
    </w:p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4"/>
    <w:next w:val="4"/>
    <w:link w:val="16"/>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脚 字符"/>
    <w:basedOn w:val="10"/>
    <w:link w:val="5"/>
    <w:qFormat/>
    <w:uiPriority w:val="99"/>
    <w:rPr>
      <w:rFonts w:ascii="Times New Roman" w:hAnsi="Times New Roman" w:eastAsia="仿宋_GB2312" w:cs="Times New Roman"/>
      <w:sz w:val="18"/>
      <w:szCs w:val="18"/>
    </w:rPr>
  </w:style>
  <w:style w:type="character" w:customStyle="1" w:styleId="13">
    <w:name w:val="标题 1 字符"/>
    <w:basedOn w:val="10"/>
    <w:link w:val="3"/>
    <w:qFormat/>
    <w:uiPriority w:val="9"/>
    <w:rPr>
      <w:rFonts w:ascii="Times New Roman" w:hAnsi="Times New Roman" w:eastAsia="宋体"/>
      <w:bCs/>
      <w:kern w:val="44"/>
      <w:sz w:val="20"/>
      <w:szCs w:val="44"/>
    </w:rPr>
  </w:style>
  <w:style w:type="character" w:customStyle="1" w:styleId="14">
    <w:name w:val="页眉 字符"/>
    <w:basedOn w:val="10"/>
    <w:link w:val="6"/>
    <w:qFormat/>
    <w:uiPriority w:val="99"/>
    <w:rPr>
      <w:rFonts w:ascii="Times New Roman" w:hAnsi="Times New Roman" w:eastAsia="仿宋_GB2312" w:cs="Times New Roman"/>
      <w:sz w:val="18"/>
      <w:szCs w:val="18"/>
    </w:rPr>
  </w:style>
  <w:style w:type="character" w:customStyle="1" w:styleId="15">
    <w:name w:val="批注文字 字符"/>
    <w:basedOn w:val="10"/>
    <w:link w:val="4"/>
    <w:semiHidden/>
    <w:qFormat/>
    <w:uiPriority w:val="99"/>
    <w:rPr>
      <w:rFonts w:ascii="Times New Roman" w:hAnsi="Times New Roman" w:eastAsia="仿宋_GB2312" w:cs="Times New Roman"/>
      <w:sz w:val="30"/>
      <w:szCs w:val="24"/>
    </w:rPr>
  </w:style>
  <w:style w:type="character" w:customStyle="1" w:styleId="16">
    <w:name w:val="批注主题 字符"/>
    <w:basedOn w:val="15"/>
    <w:link w:val="8"/>
    <w:semiHidden/>
    <w:qFormat/>
    <w:uiPriority w:val="99"/>
    <w:rPr>
      <w:rFonts w:ascii="Times New Roman" w:hAnsi="Times New Roman" w:eastAsia="仿宋_GB2312" w:cs="Times New Roman"/>
      <w:b/>
      <w:bCs/>
      <w:sz w:val="30"/>
      <w:szCs w:val="24"/>
    </w:rPr>
  </w:style>
  <w:style w:type="character" w:customStyle="1" w:styleId="17">
    <w:name w:val="font21"/>
    <w:basedOn w:val="10"/>
    <w:qFormat/>
    <w:uiPriority w:val="0"/>
    <w:rPr>
      <w:rFonts w:hint="eastAsia" w:ascii="宋体" w:hAnsi="宋体" w:eastAsia="宋体" w:cs="宋体"/>
      <w:b/>
      <w:bCs/>
      <w:color w:val="000000"/>
      <w:sz w:val="22"/>
      <w:szCs w:val="22"/>
      <w:u w:val="none"/>
    </w:rPr>
  </w:style>
  <w:style w:type="paragraph" w:customStyle="1" w:styleId="18">
    <w:name w:val="表内"/>
    <w:basedOn w:val="1"/>
    <w:qFormat/>
    <w:uiPriority w:val="0"/>
    <w:pPr>
      <w:widowControl/>
      <w:spacing w:line="240" w:lineRule="auto"/>
      <w:ind w:firstLine="0" w:firstLineChars="0"/>
      <w:jc w:val="center"/>
      <w:textAlignment w:val="center"/>
    </w:pPr>
    <w:rPr>
      <w:rFonts w:ascii="Times New Roman" w:hAnsi="Times New Roman" w:eastAsia="宋体"/>
      <w:sz w:val="20"/>
      <w:lang w:bidi="ar"/>
    </w:rPr>
  </w:style>
  <w:style w:type="character" w:customStyle="1" w:styleId="19">
    <w:name w:val="font3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5928</Words>
  <Characters>6553</Characters>
  <Lines>50</Lines>
  <Paragraphs>14</Paragraphs>
  <TotalTime>46</TotalTime>
  <ScaleCrop>false</ScaleCrop>
  <LinksUpToDate>false</LinksUpToDate>
  <CharactersWithSpaces>6553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2022-04-16T20:15:00Z</dcterms:created>
  <dc:creator>shaoskyekin@163.com</dc:creator>
  <cp:lastModifiedBy>huanghe</cp:lastModifiedBy>
  <dcterms:modified xsi:type="dcterms:W3CDTF">2024-05-22T17:27:07Z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3A44F723985E4290913CCA1D8A5A97E6_12</vt:lpwstr>
  </property>
</Properties>
</file>